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tblpY="-615"/>
        <w:tblW w:w="98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849"/>
      </w:tblGrid>
      <w:tr w:rsidR="00724903" w:rsidRPr="00724903" w:rsidTr="00724903">
        <w:trPr>
          <w:trHeight w:val="927"/>
        </w:trPr>
        <w:tc>
          <w:tcPr>
            <w:tcW w:w="9849" w:type="dxa"/>
            <w:vAlign w:val="center"/>
          </w:tcPr>
          <w:p w:rsidR="00724903" w:rsidRPr="00724903" w:rsidRDefault="00724903" w:rsidP="00724903">
            <w:pPr>
              <w:jc w:val="center"/>
              <w:rPr>
                <w:rFonts w:ascii="Calibri" w:hAnsi="Calibri"/>
              </w:rPr>
            </w:pPr>
            <w:r w:rsidRPr="00724903">
              <w:rPr>
                <w:rFonts w:ascii="Calibri" w:hAnsi="Calibri"/>
                <w:noProof/>
                <w:lang w:val="sq-AL" w:eastAsia="sq-AL"/>
              </w:rPr>
              <w:drawing>
                <wp:anchor distT="0" distB="0" distL="114300" distR="114300" simplePos="0" relativeHeight="251660288" behindDoc="1" locked="0" layoutInCell="1" allowOverlap="1" wp14:anchorId="2DD56551" wp14:editId="6E9C9BE8">
                  <wp:simplePos x="0" y="0"/>
                  <wp:positionH relativeFrom="column">
                    <wp:posOffset>2580640</wp:posOffset>
                  </wp:positionH>
                  <wp:positionV relativeFrom="paragraph">
                    <wp:posOffset>24130</wp:posOffset>
                  </wp:positionV>
                  <wp:extent cx="838200" cy="928370"/>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8200" cy="928370"/>
                          </a:xfrm>
                          <a:prstGeom prst="rect">
                            <a:avLst/>
                          </a:prstGeom>
                          <a:noFill/>
                        </pic:spPr>
                      </pic:pic>
                    </a:graphicData>
                  </a:graphic>
                  <wp14:sizeRelH relativeFrom="page">
                    <wp14:pctWidth>0</wp14:pctWidth>
                  </wp14:sizeRelH>
                  <wp14:sizeRelV relativeFrom="page">
                    <wp14:pctHeight>0</wp14:pctHeight>
                  </wp14:sizeRelV>
                </wp:anchor>
              </w:drawing>
            </w:r>
          </w:p>
          <w:p w:rsidR="00724903" w:rsidRPr="00724903" w:rsidRDefault="00724903" w:rsidP="00724903">
            <w:pPr>
              <w:jc w:val="center"/>
              <w:rPr>
                <w:rFonts w:ascii="Calibri" w:hAnsi="Calibri"/>
              </w:rPr>
            </w:pPr>
          </w:p>
          <w:p w:rsidR="00724903" w:rsidRPr="00724903" w:rsidRDefault="00724903" w:rsidP="00724903">
            <w:pPr>
              <w:jc w:val="center"/>
              <w:rPr>
                <w:rFonts w:ascii="Calibri" w:hAnsi="Calibri"/>
              </w:rPr>
            </w:pPr>
          </w:p>
          <w:p w:rsidR="00724903" w:rsidRPr="00724903" w:rsidRDefault="00724903" w:rsidP="00724903">
            <w:pPr>
              <w:jc w:val="center"/>
              <w:rPr>
                <w:rFonts w:ascii="Calibri" w:hAnsi="Calibri"/>
              </w:rPr>
            </w:pPr>
          </w:p>
          <w:p w:rsidR="00724903" w:rsidRPr="00724903" w:rsidRDefault="00724903" w:rsidP="00724903">
            <w:pPr>
              <w:jc w:val="center"/>
              <w:rPr>
                <w:rFonts w:ascii="Calibri" w:hAnsi="Calibri"/>
              </w:rPr>
            </w:pPr>
          </w:p>
          <w:p w:rsidR="00724903" w:rsidRPr="00724903" w:rsidRDefault="00724903" w:rsidP="00724903">
            <w:pPr>
              <w:jc w:val="center"/>
              <w:rPr>
                <w:rFonts w:ascii="Calibri" w:hAnsi="Calibri"/>
                <w:b/>
                <w:bCs/>
              </w:rPr>
            </w:pPr>
          </w:p>
          <w:p w:rsidR="00724903" w:rsidRPr="00724903" w:rsidRDefault="00724903" w:rsidP="00724903">
            <w:pPr>
              <w:jc w:val="center"/>
              <w:rPr>
                <w:rFonts w:ascii="Calibri" w:hAnsi="Calibri"/>
                <w:b/>
                <w:bCs/>
              </w:rPr>
            </w:pPr>
          </w:p>
          <w:p w:rsidR="00724903" w:rsidRPr="00724903" w:rsidRDefault="00724903" w:rsidP="00724903">
            <w:pPr>
              <w:jc w:val="center"/>
              <w:rPr>
                <w:b/>
                <w:bCs/>
                <w:lang w:val="sv-SE"/>
              </w:rPr>
            </w:pPr>
            <w:r w:rsidRPr="00724903">
              <w:rPr>
                <w:b/>
                <w:bCs/>
              </w:rPr>
              <w:t>REPUBLIKA E KOSOVËS</w:t>
            </w:r>
            <w:r w:rsidRPr="00724903">
              <w:rPr>
                <w:rFonts w:eastAsia="Batang"/>
                <w:b/>
                <w:bCs/>
                <w:lang w:val="sv-SE"/>
              </w:rPr>
              <w:t>/REPUBLIKA KOSOVA/</w:t>
            </w:r>
            <w:r w:rsidRPr="00724903">
              <w:rPr>
                <w:b/>
                <w:bCs/>
                <w:lang w:val="sv-SE"/>
              </w:rPr>
              <w:t xml:space="preserve"> REPUBLIC OF </w:t>
            </w:r>
            <w:r w:rsidRPr="00724903">
              <w:rPr>
                <w:b/>
                <w:bCs/>
              </w:rPr>
              <w:t>KOSOVA</w:t>
            </w:r>
          </w:p>
          <w:p w:rsidR="00724903" w:rsidRPr="00724903" w:rsidRDefault="00724903" w:rsidP="00724903">
            <w:pPr>
              <w:jc w:val="center"/>
              <w:rPr>
                <w:rFonts w:eastAsia="MS Mincho"/>
                <w:b/>
                <w:bCs/>
                <w:sz w:val="24"/>
                <w:szCs w:val="24"/>
                <w:lang w:val="sq-AL"/>
              </w:rPr>
            </w:pPr>
          </w:p>
          <w:p w:rsidR="00724903" w:rsidRPr="00724903" w:rsidRDefault="00724903" w:rsidP="00724903">
            <w:pPr>
              <w:jc w:val="center"/>
              <w:rPr>
                <w:rFonts w:eastAsia="MS Mincho"/>
                <w:b/>
                <w:bCs/>
                <w:lang w:val="sq-AL"/>
              </w:rPr>
            </w:pPr>
            <w:r w:rsidRPr="00724903">
              <w:rPr>
                <w:rFonts w:eastAsia="MS Mincho"/>
                <w:b/>
                <w:bCs/>
                <w:lang w:val="sq-AL"/>
              </w:rPr>
              <w:t xml:space="preserve">QEVERIA E KOSOVËS / VLADA KOSOVA /GOVERNMENT OF KOSOVA </w:t>
            </w:r>
          </w:p>
          <w:p w:rsidR="00724903" w:rsidRPr="00724903" w:rsidRDefault="00724903" w:rsidP="00724903">
            <w:pPr>
              <w:jc w:val="center"/>
              <w:rPr>
                <w:rFonts w:eastAsia="MS Mincho"/>
                <w:b/>
                <w:bCs/>
                <w:sz w:val="18"/>
                <w:szCs w:val="18"/>
                <w:lang w:val="sq-AL"/>
              </w:rPr>
            </w:pPr>
          </w:p>
          <w:p w:rsidR="00B017FC" w:rsidRPr="00FB0D3A" w:rsidRDefault="00B017FC" w:rsidP="00B017FC">
            <w:pPr>
              <w:keepNext/>
              <w:jc w:val="center"/>
              <w:outlineLvl w:val="1"/>
              <w:rPr>
                <w:b/>
                <w:bCs/>
                <w:sz w:val="28"/>
                <w:szCs w:val="28"/>
              </w:rPr>
            </w:pPr>
            <w:r w:rsidRPr="00FB0D3A">
              <w:rPr>
                <w:b/>
                <w:bCs/>
                <w:sz w:val="28"/>
                <w:szCs w:val="28"/>
              </w:rPr>
              <w:t>Ministria e Ekonomisë, Punësimit, Tregtisë, Industrisë, Ndërmarrësisë dhe Investimeve Strategjike</w:t>
            </w:r>
          </w:p>
          <w:p w:rsidR="00B017FC" w:rsidRPr="00FB0D3A" w:rsidRDefault="00B017FC" w:rsidP="00B017FC">
            <w:pPr>
              <w:keepNext/>
              <w:jc w:val="center"/>
              <w:outlineLvl w:val="1"/>
              <w:rPr>
                <w:b/>
                <w:bCs/>
                <w:sz w:val="28"/>
                <w:szCs w:val="28"/>
              </w:rPr>
            </w:pPr>
            <w:r w:rsidRPr="00FB0D3A">
              <w:rPr>
                <w:b/>
                <w:bCs/>
                <w:sz w:val="28"/>
                <w:szCs w:val="28"/>
              </w:rPr>
              <w:t>Ministarstvo Ekonomije, Zapošlavanja, Trgovine, Industrije, Preduzetništva i Strateških Investicija</w:t>
            </w:r>
          </w:p>
          <w:p w:rsidR="00B017FC" w:rsidRPr="00FB0D3A" w:rsidRDefault="00B017FC" w:rsidP="00B017FC">
            <w:pPr>
              <w:keepNext/>
              <w:jc w:val="center"/>
              <w:outlineLvl w:val="1"/>
              <w:rPr>
                <w:b/>
                <w:bCs/>
                <w:sz w:val="28"/>
                <w:szCs w:val="28"/>
              </w:rPr>
            </w:pPr>
            <w:r w:rsidRPr="00FB0D3A">
              <w:rPr>
                <w:b/>
                <w:bCs/>
                <w:sz w:val="28"/>
                <w:szCs w:val="28"/>
              </w:rPr>
              <w:t>Ministry of Economy, Employment, Trade, Industry, Entrepreneurship and Strategic Investments</w:t>
            </w:r>
          </w:p>
          <w:p w:rsidR="00724903" w:rsidRPr="00724903" w:rsidRDefault="00724903" w:rsidP="00724903">
            <w:pPr>
              <w:jc w:val="center"/>
              <w:rPr>
                <w:rFonts w:eastAsia="MS Mincho"/>
                <w:b/>
                <w:bCs/>
                <w:sz w:val="18"/>
                <w:szCs w:val="18"/>
                <w:lang w:val="sq-AL"/>
              </w:rPr>
            </w:pPr>
          </w:p>
        </w:tc>
      </w:tr>
      <w:tr w:rsidR="00724903" w:rsidRPr="00724903" w:rsidTr="00724903">
        <w:trPr>
          <w:trHeight w:val="1032"/>
        </w:trPr>
        <w:tc>
          <w:tcPr>
            <w:tcW w:w="9849" w:type="dxa"/>
            <w:vAlign w:val="center"/>
          </w:tcPr>
          <w:p w:rsidR="00724903" w:rsidRPr="00724903" w:rsidRDefault="00724903" w:rsidP="00724903">
            <w:pPr>
              <w:keepNext/>
              <w:jc w:val="center"/>
              <w:outlineLvl w:val="1"/>
              <w:rPr>
                <w:rFonts w:eastAsia="Arial Unicode MS"/>
                <w:b/>
                <w:bCs/>
                <w:sz w:val="18"/>
                <w:szCs w:val="18"/>
                <w:lang w:val="sq-AL"/>
              </w:rPr>
            </w:pPr>
          </w:p>
          <w:p w:rsidR="00724903" w:rsidRPr="00724903" w:rsidRDefault="00724903" w:rsidP="00724903">
            <w:pPr>
              <w:keepNext/>
              <w:outlineLvl w:val="1"/>
              <w:rPr>
                <w:rFonts w:eastAsia="Arial Unicode MS"/>
                <w:b/>
                <w:bCs/>
                <w:sz w:val="18"/>
                <w:szCs w:val="18"/>
                <w:lang w:val="sq-AL"/>
              </w:rPr>
            </w:pPr>
            <w:r w:rsidRPr="00724903">
              <w:rPr>
                <w:rFonts w:eastAsia="Arial Unicode MS"/>
                <w:b/>
                <w:bCs/>
                <w:sz w:val="18"/>
                <w:szCs w:val="18"/>
                <w:lang w:val="sq-AL"/>
              </w:rPr>
              <w:t xml:space="preserve">                   DEPARTAMENTI I TREGTISË/ DEPARTAMENT TRGOVINE/DEPARTMENT OF TRADE</w:t>
            </w:r>
          </w:p>
          <w:p w:rsidR="00724903" w:rsidRPr="00724903" w:rsidRDefault="00724903" w:rsidP="00724903">
            <w:pPr>
              <w:keepNext/>
              <w:outlineLvl w:val="1"/>
              <w:rPr>
                <w:rFonts w:eastAsia="Arial Unicode MS"/>
                <w:b/>
                <w:bCs/>
                <w:sz w:val="18"/>
                <w:szCs w:val="18"/>
                <w:lang w:val="sq-AL"/>
              </w:rPr>
            </w:pPr>
          </w:p>
          <w:p w:rsidR="00724903" w:rsidRPr="00724903" w:rsidRDefault="00724903" w:rsidP="00724903">
            <w:pPr>
              <w:keepNext/>
              <w:outlineLvl w:val="1"/>
              <w:rPr>
                <w:rFonts w:eastAsia="Arial Unicode MS"/>
                <w:b/>
                <w:bCs/>
                <w:sz w:val="18"/>
                <w:szCs w:val="18"/>
                <w:lang w:val="sq-AL"/>
              </w:rPr>
            </w:pPr>
          </w:p>
          <w:p w:rsidR="00724903" w:rsidRPr="00724903" w:rsidRDefault="00724903" w:rsidP="00724903">
            <w:pPr>
              <w:rPr>
                <w:rFonts w:eastAsia="MS Mincho"/>
                <w:b/>
                <w:bCs/>
                <w:sz w:val="24"/>
                <w:szCs w:val="24"/>
                <w:lang w:val="sq-AL"/>
              </w:rPr>
            </w:pPr>
          </w:p>
        </w:tc>
      </w:tr>
    </w:tbl>
    <w:p w:rsidR="00191C36" w:rsidRPr="00212C6F" w:rsidRDefault="001D427F" w:rsidP="0067049C">
      <w:pPr>
        <w:jc w:val="center"/>
        <w:rPr>
          <w:b/>
          <w:sz w:val="20"/>
          <w:szCs w:val="20"/>
        </w:rPr>
      </w:pPr>
      <w:r w:rsidRPr="00212C6F">
        <w:rPr>
          <w:b/>
          <w:sz w:val="20"/>
          <w:szCs w:val="20"/>
        </w:rPr>
        <w:t xml:space="preserve">CONTACT POINT ON SERVICES AND THE </w:t>
      </w:r>
      <w:r w:rsidR="0067049C" w:rsidRPr="00212C6F">
        <w:rPr>
          <w:b/>
          <w:sz w:val="20"/>
          <w:szCs w:val="20"/>
        </w:rPr>
        <w:t>POINT OF SINGLE CONTACT</w:t>
      </w:r>
    </w:p>
    <w:p w:rsidR="0067049C" w:rsidRPr="00B017FC" w:rsidRDefault="0067049C" w:rsidP="00724903">
      <w:pPr>
        <w:spacing w:line="276" w:lineRule="auto"/>
        <w:jc w:val="both"/>
        <w:rPr>
          <w:sz w:val="28"/>
          <w:szCs w:val="28"/>
        </w:rPr>
      </w:pPr>
      <w:r w:rsidRPr="00B017FC">
        <w:rPr>
          <w:sz w:val="28"/>
          <w:szCs w:val="28"/>
        </w:rPr>
        <w:t xml:space="preserve">Kosovo has adopted </w:t>
      </w:r>
      <w:r w:rsidR="004E291D" w:rsidRPr="00B017FC">
        <w:rPr>
          <w:sz w:val="28"/>
          <w:szCs w:val="28"/>
        </w:rPr>
        <w:t xml:space="preserve">closely interrelated </w:t>
      </w:r>
      <w:r w:rsidRPr="00B017FC">
        <w:rPr>
          <w:sz w:val="28"/>
          <w:szCs w:val="28"/>
        </w:rPr>
        <w:t>commitments both under AP6 and through the Law on Services</w:t>
      </w:r>
      <w:r w:rsidR="004E291D" w:rsidRPr="00B017FC">
        <w:rPr>
          <w:sz w:val="28"/>
          <w:szCs w:val="28"/>
        </w:rPr>
        <w:t xml:space="preserve"> in terms of providing transparency and facilitating the procedures for services suppliers intending to enter and operate in the market. It is important to implement these commitments in a synchronized manner and avoid any duplication of institutional frame</w:t>
      </w:r>
      <w:r w:rsidR="00E969FC" w:rsidRPr="00B017FC">
        <w:rPr>
          <w:sz w:val="28"/>
          <w:szCs w:val="28"/>
        </w:rPr>
        <w:t>works to comply with the obligations.</w:t>
      </w:r>
    </w:p>
    <w:p w:rsidR="00E969FC" w:rsidRPr="00B017FC" w:rsidRDefault="00E969FC" w:rsidP="00724903">
      <w:pPr>
        <w:spacing w:line="276" w:lineRule="auto"/>
        <w:jc w:val="both"/>
        <w:rPr>
          <w:sz w:val="28"/>
          <w:szCs w:val="28"/>
        </w:rPr>
      </w:pPr>
      <w:r w:rsidRPr="00B017FC">
        <w:rPr>
          <w:sz w:val="28"/>
          <w:szCs w:val="28"/>
        </w:rPr>
        <w:t>A per the provisions of CEF</w:t>
      </w:r>
      <w:r w:rsidR="00CE57E3" w:rsidRPr="00B017FC">
        <w:rPr>
          <w:sz w:val="28"/>
          <w:szCs w:val="28"/>
        </w:rPr>
        <w:t>TA</w:t>
      </w:r>
      <w:r w:rsidRPr="00B017FC">
        <w:rPr>
          <w:sz w:val="28"/>
          <w:szCs w:val="28"/>
        </w:rPr>
        <w:t xml:space="preserve"> 2006 and the AP6 Kosovo is bound to establish an institutional framework</w:t>
      </w:r>
      <w:r w:rsidR="006C24F3" w:rsidRPr="00B017FC">
        <w:rPr>
          <w:sz w:val="28"/>
          <w:szCs w:val="28"/>
        </w:rPr>
        <w:t xml:space="preserve">, a </w:t>
      </w:r>
      <w:r w:rsidR="002A5B54" w:rsidRPr="00B017FC">
        <w:rPr>
          <w:sz w:val="28"/>
          <w:szCs w:val="28"/>
        </w:rPr>
        <w:t>C</w:t>
      </w:r>
      <w:r w:rsidR="006C24F3" w:rsidRPr="00B017FC">
        <w:rPr>
          <w:sz w:val="28"/>
          <w:szCs w:val="28"/>
        </w:rPr>
        <w:t xml:space="preserve">ontact </w:t>
      </w:r>
      <w:r w:rsidR="002A5B54" w:rsidRPr="00B017FC">
        <w:rPr>
          <w:sz w:val="28"/>
          <w:szCs w:val="28"/>
        </w:rPr>
        <w:t>P</w:t>
      </w:r>
      <w:r w:rsidR="006C24F3" w:rsidRPr="00B017FC">
        <w:rPr>
          <w:sz w:val="28"/>
          <w:szCs w:val="28"/>
        </w:rPr>
        <w:t xml:space="preserve">oint for </w:t>
      </w:r>
      <w:r w:rsidR="002A5B54" w:rsidRPr="00B017FC">
        <w:rPr>
          <w:sz w:val="28"/>
          <w:szCs w:val="28"/>
        </w:rPr>
        <w:t>S</w:t>
      </w:r>
      <w:r w:rsidR="006C24F3" w:rsidRPr="00B017FC">
        <w:rPr>
          <w:sz w:val="28"/>
          <w:szCs w:val="28"/>
        </w:rPr>
        <w:t>ervices</w:t>
      </w:r>
      <w:r w:rsidR="00CE57E3" w:rsidRPr="00B017FC">
        <w:rPr>
          <w:sz w:val="28"/>
          <w:szCs w:val="28"/>
        </w:rPr>
        <w:t xml:space="preserve"> (CPS)</w:t>
      </w:r>
      <w:r w:rsidR="006C24F3" w:rsidRPr="00B017FC">
        <w:rPr>
          <w:sz w:val="28"/>
          <w:szCs w:val="28"/>
        </w:rPr>
        <w:t>,</w:t>
      </w:r>
      <w:r w:rsidRPr="00B017FC">
        <w:rPr>
          <w:sz w:val="28"/>
          <w:szCs w:val="28"/>
        </w:rPr>
        <w:t xml:space="preserve"> that </w:t>
      </w:r>
      <w:r w:rsidR="002A5B54" w:rsidRPr="00B017FC">
        <w:rPr>
          <w:sz w:val="28"/>
          <w:szCs w:val="28"/>
        </w:rPr>
        <w:t xml:space="preserve">should </w:t>
      </w:r>
      <w:r w:rsidRPr="00B017FC">
        <w:rPr>
          <w:sz w:val="28"/>
          <w:szCs w:val="28"/>
        </w:rPr>
        <w:t>perform three different functions</w:t>
      </w:r>
      <w:r w:rsidR="00DB115E" w:rsidRPr="00B017FC">
        <w:rPr>
          <w:sz w:val="28"/>
          <w:szCs w:val="28"/>
        </w:rPr>
        <w:t>:</w:t>
      </w:r>
    </w:p>
    <w:p w:rsidR="00DB115E" w:rsidRPr="00B017FC" w:rsidRDefault="00DB115E" w:rsidP="00724903">
      <w:pPr>
        <w:pStyle w:val="ListParagraph"/>
        <w:numPr>
          <w:ilvl w:val="0"/>
          <w:numId w:val="1"/>
        </w:numPr>
        <w:spacing w:line="276" w:lineRule="auto"/>
        <w:jc w:val="both"/>
        <w:rPr>
          <w:sz w:val="28"/>
          <w:szCs w:val="28"/>
        </w:rPr>
      </w:pPr>
      <w:r w:rsidRPr="00B017FC">
        <w:rPr>
          <w:sz w:val="28"/>
          <w:szCs w:val="28"/>
        </w:rPr>
        <w:t>To provide answers to requests by other CEFTA members on issues related to its laws, regulations and administrative guidelines</w:t>
      </w:r>
      <w:r w:rsidR="007748FC" w:rsidRPr="00B017FC">
        <w:rPr>
          <w:sz w:val="28"/>
          <w:szCs w:val="28"/>
        </w:rPr>
        <w:t xml:space="preserve"> affecting trade in services [CEFTA Article 44.2]</w:t>
      </w:r>
    </w:p>
    <w:p w:rsidR="007748FC" w:rsidRPr="00B017FC" w:rsidRDefault="007748FC" w:rsidP="00724903">
      <w:pPr>
        <w:pStyle w:val="ListParagraph"/>
        <w:numPr>
          <w:ilvl w:val="0"/>
          <w:numId w:val="1"/>
        </w:numPr>
        <w:spacing w:line="276" w:lineRule="auto"/>
        <w:jc w:val="both"/>
        <w:rPr>
          <w:sz w:val="28"/>
          <w:szCs w:val="28"/>
        </w:rPr>
      </w:pPr>
      <w:r w:rsidRPr="00B017FC">
        <w:rPr>
          <w:sz w:val="28"/>
          <w:szCs w:val="28"/>
        </w:rPr>
        <w:t xml:space="preserve">To inform </w:t>
      </w:r>
      <w:r w:rsidR="006C24F3" w:rsidRPr="00B017FC">
        <w:rPr>
          <w:sz w:val="28"/>
          <w:szCs w:val="28"/>
        </w:rPr>
        <w:t>the Subcommittee on Trade in Services (SCT) prompt</w:t>
      </w:r>
      <w:r w:rsidR="00C9378A" w:rsidRPr="00B017FC">
        <w:rPr>
          <w:sz w:val="28"/>
          <w:szCs w:val="28"/>
        </w:rPr>
        <w:t>l</w:t>
      </w:r>
      <w:r w:rsidR="006C24F3" w:rsidRPr="00B017FC">
        <w:rPr>
          <w:sz w:val="28"/>
          <w:szCs w:val="28"/>
        </w:rPr>
        <w:t>y</w:t>
      </w:r>
      <w:r w:rsidR="00C9378A" w:rsidRPr="00B017FC">
        <w:rPr>
          <w:sz w:val="28"/>
          <w:szCs w:val="28"/>
        </w:rPr>
        <w:t>, and at least annually, on any new laws, regulations and administrative guidelines affecting trade in services</w:t>
      </w:r>
      <w:r w:rsidR="00E2039D" w:rsidRPr="00B017FC">
        <w:rPr>
          <w:sz w:val="28"/>
          <w:szCs w:val="28"/>
        </w:rPr>
        <w:t>, and of any changes to existing ones;</w:t>
      </w:r>
    </w:p>
    <w:p w:rsidR="00E2039D" w:rsidRPr="00B017FC" w:rsidRDefault="00E2039D" w:rsidP="00724903">
      <w:pPr>
        <w:pStyle w:val="ListParagraph"/>
        <w:numPr>
          <w:ilvl w:val="0"/>
          <w:numId w:val="1"/>
        </w:numPr>
        <w:spacing w:line="276" w:lineRule="auto"/>
        <w:jc w:val="both"/>
        <w:rPr>
          <w:sz w:val="28"/>
          <w:szCs w:val="28"/>
        </w:rPr>
      </w:pPr>
      <w:r w:rsidRPr="00B017FC">
        <w:rPr>
          <w:sz w:val="28"/>
          <w:szCs w:val="28"/>
        </w:rPr>
        <w:t>To provide advance information to the STS</w:t>
      </w:r>
      <w:r w:rsidR="008859CA" w:rsidRPr="00B017FC">
        <w:rPr>
          <w:sz w:val="28"/>
          <w:szCs w:val="28"/>
        </w:rPr>
        <w:t xml:space="preserve"> o</w:t>
      </w:r>
      <w:r w:rsidR="00461344" w:rsidRPr="00B017FC">
        <w:rPr>
          <w:sz w:val="28"/>
          <w:szCs w:val="28"/>
        </w:rPr>
        <w:t>n</w:t>
      </w:r>
      <w:r w:rsidR="008859CA" w:rsidRPr="00B017FC">
        <w:rPr>
          <w:sz w:val="28"/>
          <w:szCs w:val="28"/>
        </w:rPr>
        <w:t xml:space="preserve"> any relevant measure of general application affecting trade in services it intends to adopt</w:t>
      </w:r>
      <w:r w:rsidR="002510D4" w:rsidRPr="00B017FC">
        <w:rPr>
          <w:sz w:val="28"/>
          <w:szCs w:val="28"/>
        </w:rPr>
        <w:t xml:space="preserve"> to allow </w:t>
      </w:r>
      <w:r w:rsidR="002510D4" w:rsidRPr="00B017FC">
        <w:rPr>
          <w:sz w:val="28"/>
          <w:szCs w:val="28"/>
        </w:rPr>
        <w:lastRenderedPageBreak/>
        <w:t>opportunity to other parties to comment on the measure (advance notification).</w:t>
      </w:r>
    </w:p>
    <w:p w:rsidR="00B13FBE" w:rsidRPr="00B017FC" w:rsidRDefault="002A5B54" w:rsidP="00724903">
      <w:pPr>
        <w:spacing w:line="276" w:lineRule="auto"/>
        <w:jc w:val="both"/>
        <w:rPr>
          <w:sz w:val="28"/>
          <w:szCs w:val="28"/>
        </w:rPr>
      </w:pPr>
      <w:r w:rsidRPr="00B017FC">
        <w:rPr>
          <w:sz w:val="28"/>
          <w:szCs w:val="28"/>
        </w:rPr>
        <w:t>There is no obligation whatsoever on the shape or structure that the CPS</w:t>
      </w:r>
      <w:r w:rsidR="00F75279" w:rsidRPr="00B017FC">
        <w:rPr>
          <w:sz w:val="28"/>
          <w:szCs w:val="28"/>
        </w:rPr>
        <w:t xml:space="preserve"> should have. The </w:t>
      </w:r>
      <w:r w:rsidR="00E1229E" w:rsidRPr="00B017FC">
        <w:rPr>
          <w:sz w:val="28"/>
          <w:szCs w:val="28"/>
        </w:rPr>
        <w:t xml:space="preserve">national government has full discretion on decisions </w:t>
      </w:r>
      <w:r w:rsidR="00B605AE" w:rsidRPr="00B017FC">
        <w:rPr>
          <w:sz w:val="28"/>
          <w:szCs w:val="28"/>
        </w:rPr>
        <w:t>regarding</w:t>
      </w:r>
      <w:r w:rsidR="00E1229E" w:rsidRPr="00B017FC">
        <w:rPr>
          <w:sz w:val="28"/>
          <w:szCs w:val="28"/>
        </w:rPr>
        <w:t xml:space="preserve"> the shape or structure of the CPS</w:t>
      </w:r>
      <w:r w:rsidR="00F75279" w:rsidRPr="00B017FC">
        <w:rPr>
          <w:sz w:val="28"/>
          <w:szCs w:val="28"/>
        </w:rPr>
        <w:t xml:space="preserve">. </w:t>
      </w:r>
      <w:r w:rsidR="00CE57E3" w:rsidRPr="00B017FC">
        <w:rPr>
          <w:sz w:val="28"/>
          <w:szCs w:val="28"/>
        </w:rPr>
        <w:t xml:space="preserve"> </w:t>
      </w:r>
    </w:p>
    <w:p w:rsidR="00564768" w:rsidRPr="00B017FC" w:rsidRDefault="00564768" w:rsidP="00724903">
      <w:pPr>
        <w:spacing w:line="276" w:lineRule="auto"/>
        <w:jc w:val="both"/>
        <w:rPr>
          <w:sz w:val="28"/>
          <w:szCs w:val="28"/>
        </w:rPr>
      </w:pPr>
      <w:r w:rsidRPr="00B017FC">
        <w:rPr>
          <w:sz w:val="28"/>
          <w:szCs w:val="28"/>
        </w:rPr>
        <w:t xml:space="preserve">On the basis of the Law on Services, Kosovo is bound to implement a </w:t>
      </w:r>
      <w:r w:rsidR="009579B6" w:rsidRPr="00B017FC">
        <w:rPr>
          <w:sz w:val="28"/>
          <w:szCs w:val="28"/>
        </w:rPr>
        <w:t>Point of Single Contact (PSC) for services</w:t>
      </w:r>
      <w:r w:rsidR="00461344" w:rsidRPr="00B017FC">
        <w:rPr>
          <w:sz w:val="28"/>
          <w:szCs w:val="28"/>
        </w:rPr>
        <w:t xml:space="preserve">, which should be </w:t>
      </w:r>
      <w:r w:rsidR="00A537AA" w:rsidRPr="00B017FC">
        <w:rPr>
          <w:sz w:val="28"/>
          <w:szCs w:val="28"/>
        </w:rPr>
        <w:t>established and managed by the MTI. The PSC functions goes beyond those of the CPS, as it shall allow applicants to undertake electronically all the procedures required to enter and operate in the market. On the other hand</w:t>
      </w:r>
      <w:r w:rsidR="00F4241F" w:rsidRPr="00B017FC">
        <w:rPr>
          <w:sz w:val="28"/>
          <w:szCs w:val="28"/>
        </w:rPr>
        <w:t>,</w:t>
      </w:r>
      <w:r w:rsidR="00A537AA" w:rsidRPr="00B017FC">
        <w:rPr>
          <w:sz w:val="28"/>
          <w:szCs w:val="28"/>
        </w:rPr>
        <w:t xml:space="preserve"> the CPS has a wider coverage than the PSC, as the Services Law includes important </w:t>
      </w:r>
      <w:r w:rsidR="00AA15D7" w:rsidRPr="00B017FC">
        <w:rPr>
          <w:sz w:val="28"/>
          <w:szCs w:val="28"/>
        </w:rPr>
        <w:t>sectoral exceptions.</w:t>
      </w:r>
    </w:p>
    <w:p w:rsidR="00B37AD6" w:rsidRPr="00B017FC" w:rsidRDefault="00AA15D7" w:rsidP="00724903">
      <w:pPr>
        <w:spacing w:line="276" w:lineRule="auto"/>
        <w:jc w:val="both"/>
        <w:rPr>
          <w:sz w:val="28"/>
          <w:szCs w:val="28"/>
        </w:rPr>
      </w:pPr>
      <w:r w:rsidRPr="00B017FC">
        <w:rPr>
          <w:sz w:val="28"/>
          <w:szCs w:val="28"/>
        </w:rPr>
        <w:t xml:space="preserve">Given these commitments is important that the establishment of an institutional framework to comply with the different obligations </w:t>
      </w:r>
      <w:r w:rsidR="00B37AD6" w:rsidRPr="00B017FC">
        <w:rPr>
          <w:sz w:val="28"/>
          <w:szCs w:val="28"/>
        </w:rPr>
        <w:t>is coordinated and incorporated in a single undertaken. There is no need to establish two different bodies. The implementation of the CPS should be a first step towards the full implementation of the PSC.</w:t>
      </w:r>
    </w:p>
    <w:p w:rsidR="00724903" w:rsidRPr="00B017FC" w:rsidRDefault="00B37AD6" w:rsidP="00724903">
      <w:pPr>
        <w:spacing w:line="276" w:lineRule="auto"/>
        <w:jc w:val="both"/>
        <w:rPr>
          <w:sz w:val="28"/>
          <w:szCs w:val="28"/>
        </w:rPr>
      </w:pPr>
      <w:r w:rsidRPr="00B017FC">
        <w:rPr>
          <w:sz w:val="28"/>
          <w:szCs w:val="28"/>
        </w:rPr>
        <w:t xml:space="preserve">The work program suggested aims at achieving </w:t>
      </w:r>
      <w:r w:rsidR="0044229C" w:rsidRPr="00B017FC">
        <w:rPr>
          <w:sz w:val="28"/>
          <w:szCs w:val="28"/>
        </w:rPr>
        <w:t>the objective of establishing a single institutional framework that will allow Kosovo to fulfil its obligations both under AP6 and Law on Services.</w:t>
      </w:r>
    </w:p>
    <w:p w:rsidR="00724903" w:rsidRPr="00B017FC" w:rsidRDefault="00724903" w:rsidP="00724903">
      <w:pPr>
        <w:spacing w:line="276" w:lineRule="auto"/>
        <w:jc w:val="both"/>
        <w:rPr>
          <w:sz w:val="28"/>
          <w:szCs w:val="28"/>
        </w:rPr>
        <w:sectPr w:rsidR="00724903" w:rsidRPr="00B017FC">
          <w:pgSz w:w="12240" w:h="15840"/>
          <w:pgMar w:top="1440" w:right="1440" w:bottom="1440" w:left="1440" w:header="720" w:footer="720" w:gutter="0"/>
          <w:cols w:space="720"/>
          <w:docGrid w:linePitch="360"/>
        </w:sectPr>
      </w:pPr>
      <w:r w:rsidRPr="00B017FC">
        <w:rPr>
          <w:sz w:val="28"/>
          <w:szCs w:val="28"/>
        </w:rPr>
        <w:t>In addition, the color coded Action Plan, table with tasks and Work Programme is appended.</w:t>
      </w:r>
    </w:p>
    <w:tbl>
      <w:tblPr>
        <w:tblStyle w:val="TableGrid"/>
        <w:tblpPr w:leftFromText="180" w:rightFromText="180" w:vertAnchor="text" w:horzAnchor="margin" w:tblpY="58"/>
        <w:tblW w:w="13429" w:type="dxa"/>
        <w:tblLook w:val="04A0" w:firstRow="1" w:lastRow="0" w:firstColumn="1" w:lastColumn="0" w:noHBand="0" w:noVBand="1"/>
      </w:tblPr>
      <w:tblGrid>
        <w:gridCol w:w="4276"/>
        <w:gridCol w:w="4217"/>
        <w:gridCol w:w="2288"/>
        <w:gridCol w:w="1348"/>
        <w:gridCol w:w="1300"/>
      </w:tblGrid>
      <w:tr w:rsidR="00A25E15" w:rsidTr="006B1EFF">
        <w:trPr>
          <w:trHeight w:val="868"/>
        </w:trPr>
        <w:tc>
          <w:tcPr>
            <w:tcW w:w="13429" w:type="dxa"/>
            <w:gridSpan w:val="5"/>
          </w:tcPr>
          <w:p w:rsidR="00A25E15" w:rsidRDefault="00A25E15" w:rsidP="006B1EFF">
            <w:pPr>
              <w:jc w:val="center"/>
              <w:rPr>
                <w:b/>
                <w:u w:val="single"/>
              </w:rPr>
            </w:pPr>
          </w:p>
          <w:p w:rsidR="00A25E15" w:rsidRPr="00A811A3" w:rsidRDefault="00A25E15" w:rsidP="006B1EFF">
            <w:pPr>
              <w:jc w:val="center"/>
              <w:rPr>
                <w:b/>
                <w:sz w:val="26"/>
                <w:szCs w:val="26"/>
                <w:u w:val="single"/>
              </w:rPr>
            </w:pPr>
            <w:r w:rsidRPr="00A811A3">
              <w:rPr>
                <w:b/>
                <w:sz w:val="26"/>
                <w:szCs w:val="26"/>
                <w:u w:val="single"/>
              </w:rPr>
              <w:t>Action Plan on establishing Point of Single Contact (PSC) under Services Directive 123/2006/EC</w:t>
            </w:r>
          </w:p>
          <w:p w:rsidR="00A25E15" w:rsidRDefault="00A25E15" w:rsidP="006B1EFF"/>
        </w:tc>
      </w:tr>
      <w:tr w:rsidR="00A25E15" w:rsidTr="00B017FC">
        <w:trPr>
          <w:trHeight w:val="635"/>
        </w:trPr>
        <w:tc>
          <w:tcPr>
            <w:tcW w:w="4320" w:type="dxa"/>
            <w:shd w:val="clear" w:color="auto" w:fill="FFFFFF" w:themeFill="background1"/>
            <w:vAlign w:val="center"/>
          </w:tcPr>
          <w:p w:rsidR="00A25E15" w:rsidRPr="008B4E8E" w:rsidRDefault="00A25E15" w:rsidP="006B1EFF">
            <w:pPr>
              <w:jc w:val="center"/>
              <w:rPr>
                <w:b/>
              </w:rPr>
            </w:pPr>
            <w:r w:rsidRPr="008B4E8E">
              <w:rPr>
                <w:b/>
              </w:rPr>
              <w:t>OBJECTIVE</w:t>
            </w:r>
          </w:p>
        </w:tc>
        <w:tc>
          <w:tcPr>
            <w:tcW w:w="4261" w:type="dxa"/>
            <w:shd w:val="clear" w:color="auto" w:fill="FFFFFF" w:themeFill="background1"/>
            <w:vAlign w:val="center"/>
          </w:tcPr>
          <w:p w:rsidR="00A25E15" w:rsidRPr="008B4E8E" w:rsidRDefault="00A25E15" w:rsidP="006B1EFF">
            <w:pPr>
              <w:jc w:val="center"/>
              <w:rPr>
                <w:b/>
              </w:rPr>
            </w:pPr>
            <w:r w:rsidRPr="008B4E8E">
              <w:rPr>
                <w:b/>
              </w:rPr>
              <w:t>Planned Activity</w:t>
            </w:r>
          </w:p>
        </w:tc>
        <w:tc>
          <w:tcPr>
            <w:tcW w:w="2304" w:type="dxa"/>
            <w:shd w:val="clear" w:color="auto" w:fill="FFFFFF" w:themeFill="background1"/>
            <w:vAlign w:val="center"/>
          </w:tcPr>
          <w:p w:rsidR="00A25E15" w:rsidRPr="008B4E8E" w:rsidRDefault="00A25E15" w:rsidP="006B1EFF">
            <w:pPr>
              <w:jc w:val="center"/>
              <w:rPr>
                <w:b/>
              </w:rPr>
            </w:pPr>
            <w:r>
              <w:rPr>
                <w:b/>
              </w:rPr>
              <w:t xml:space="preserve">Relevant </w:t>
            </w:r>
            <w:r w:rsidRPr="008B4E8E">
              <w:rPr>
                <w:b/>
              </w:rPr>
              <w:t>Institution</w:t>
            </w:r>
            <w:r>
              <w:rPr>
                <w:b/>
              </w:rPr>
              <w:t>s</w:t>
            </w:r>
          </w:p>
        </w:tc>
        <w:tc>
          <w:tcPr>
            <w:tcW w:w="1350" w:type="dxa"/>
            <w:shd w:val="clear" w:color="auto" w:fill="FFFFFF" w:themeFill="background1"/>
            <w:vAlign w:val="center"/>
          </w:tcPr>
          <w:p w:rsidR="00A25E15" w:rsidRPr="008B4E8E" w:rsidRDefault="00A25E15" w:rsidP="006B1EFF">
            <w:pPr>
              <w:jc w:val="center"/>
              <w:rPr>
                <w:b/>
              </w:rPr>
            </w:pPr>
            <w:r w:rsidRPr="008B4E8E">
              <w:rPr>
                <w:b/>
              </w:rPr>
              <w:t>Time</w:t>
            </w:r>
            <w:r>
              <w:rPr>
                <w:b/>
              </w:rPr>
              <w:t>-frame</w:t>
            </w:r>
          </w:p>
        </w:tc>
        <w:tc>
          <w:tcPr>
            <w:tcW w:w="1194" w:type="dxa"/>
            <w:shd w:val="clear" w:color="auto" w:fill="FFFFFF" w:themeFill="background1"/>
            <w:vAlign w:val="center"/>
          </w:tcPr>
          <w:p w:rsidR="00A25E15" w:rsidRPr="008B4E8E" w:rsidRDefault="00A25E15" w:rsidP="006B1EFF">
            <w:pPr>
              <w:jc w:val="center"/>
              <w:rPr>
                <w:b/>
              </w:rPr>
            </w:pPr>
            <w:r w:rsidRPr="008B4E8E">
              <w:rPr>
                <w:b/>
              </w:rPr>
              <w:t>Budget</w:t>
            </w:r>
          </w:p>
        </w:tc>
      </w:tr>
      <w:tr w:rsidR="00A25E15" w:rsidTr="00B017FC">
        <w:trPr>
          <w:trHeight w:val="405"/>
        </w:trPr>
        <w:tc>
          <w:tcPr>
            <w:tcW w:w="4320" w:type="dxa"/>
            <w:vMerge w:val="restart"/>
            <w:shd w:val="clear" w:color="auto" w:fill="E2EFD9" w:themeFill="accent6" w:themeFillTint="33"/>
            <w:vAlign w:val="center"/>
          </w:tcPr>
          <w:p w:rsidR="00A25E15" w:rsidRPr="00DC34AE" w:rsidRDefault="00A25E15" w:rsidP="00724903">
            <w:pPr>
              <w:jc w:val="both"/>
              <w:rPr>
                <w:b/>
                <w:color w:val="000000" w:themeColor="text1"/>
              </w:rPr>
            </w:pPr>
            <w:r w:rsidRPr="00724903">
              <w:rPr>
                <w:color w:val="000000" w:themeColor="text1"/>
              </w:rPr>
              <w:t>1.</w:t>
            </w:r>
            <w:r w:rsidRPr="00DC34AE">
              <w:rPr>
                <w:b/>
                <w:color w:val="000000" w:themeColor="text1"/>
              </w:rPr>
              <w:t xml:space="preserve"> </w:t>
            </w:r>
            <w:r w:rsidRPr="00DC34AE">
              <w:rPr>
                <w:color w:val="000000" w:themeColor="text1"/>
              </w:rPr>
              <w:t>Establish service contact point</w:t>
            </w:r>
          </w:p>
        </w:tc>
        <w:tc>
          <w:tcPr>
            <w:tcW w:w="4261" w:type="dxa"/>
            <w:shd w:val="clear" w:color="auto" w:fill="auto"/>
            <w:vAlign w:val="center"/>
          </w:tcPr>
          <w:p w:rsidR="00A25E15" w:rsidRPr="00DC34AE" w:rsidRDefault="00A25E15" w:rsidP="006B1EFF">
            <w:pPr>
              <w:rPr>
                <w:color w:val="000000" w:themeColor="text1"/>
              </w:rPr>
            </w:pPr>
            <w:r w:rsidRPr="00DC34AE">
              <w:rPr>
                <w:color w:val="000000" w:themeColor="text1"/>
              </w:rPr>
              <w:t>1a. Review and update Trade in Services Database</w:t>
            </w:r>
          </w:p>
        </w:tc>
        <w:tc>
          <w:tcPr>
            <w:tcW w:w="2304" w:type="dxa"/>
            <w:vMerge w:val="restart"/>
            <w:shd w:val="clear" w:color="auto" w:fill="auto"/>
            <w:vAlign w:val="center"/>
          </w:tcPr>
          <w:p w:rsidR="00B017FC" w:rsidRDefault="00B017FC" w:rsidP="006B1EFF">
            <w:pPr>
              <w:rPr>
                <w:color w:val="000000" w:themeColor="text1"/>
              </w:rPr>
            </w:pPr>
            <w:r>
              <w:rPr>
                <w:color w:val="000000" w:themeColor="text1"/>
              </w:rPr>
              <w:t>MEETIES</w:t>
            </w:r>
          </w:p>
          <w:p w:rsidR="00A25E15" w:rsidRPr="00DC34AE" w:rsidRDefault="00A25E15" w:rsidP="006B1EFF">
            <w:pPr>
              <w:rPr>
                <w:color w:val="000000" w:themeColor="text1"/>
              </w:rPr>
            </w:pPr>
            <w:r w:rsidRPr="00DC34AE">
              <w:rPr>
                <w:color w:val="000000" w:themeColor="text1"/>
              </w:rPr>
              <w:t>(Department of Trade)</w:t>
            </w:r>
          </w:p>
        </w:tc>
        <w:tc>
          <w:tcPr>
            <w:tcW w:w="1350" w:type="dxa"/>
            <w:vMerge w:val="restart"/>
            <w:shd w:val="clear" w:color="auto" w:fill="auto"/>
            <w:vAlign w:val="center"/>
          </w:tcPr>
          <w:p w:rsidR="00A25E15" w:rsidRPr="00DC34AE" w:rsidRDefault="00513AA9" w:rsidP="00596DE0">
            <w:pPr>
              <w:rPr>
                <w:color w:val="000000" w:themeColor="text1"/>
              </w:rPr>
            </w:pPr>
            <w:r>
              <w:rPr>
                <w:color w:val="000000" w:themeColor="text1"/>
              </w:rPr>
              <w:t>March 2020</w:t>
            </w:r>
          </w:p>
        </w:tc>
        <w:tc>
          <w:tcPr>
            <w:tcW w:w="1194" w:type="dxa"/>
            <w:vMerge w:val="restart"/>
            <w:shd w:val="clear" w:color="auto" w:fill="auto"/>
          </w:tcPr>
          <w:p w:rsidR="00A25E15" w:rsidRPr="00DC34AE" w:rsidRDefault="00A25E15" w:rsidP="006B1EFF">
            <w:pPr>
              <w:rPr>
                <w:color w:val="000000" w:themeColor="text1"/>
              </w:rPr>
            </w:pPr>
          </w:p>
        </w:tc>
      </w:tr>
      <w:tr w:rsidR="00A25E15" w:rsidTr="00B017FC">
        <w:trPr>
          <w:trHeight w:val="405"/>
        </w:trPr>
        <w:tc>
          <w:tcPr>
            <w:tcW w:w="4320" w:type="dxa"/>
            <w:vMerge/>
            <w:shd w:val="clear" w:color="auto" w:fill="FFFFFF" w:themeFill="background1"/>
            <w:vAlign w:val="center"/>
          </w:tcPr>
          <w:p w:rsidR="00A25E15" w:rsidRPr="00DC34AE" w:rsidRDefault="00A25E15" w:rsidP="00724903">
            <w:pPr>
              <w:jc w:val="both"/>
              <w:rPr>
                <w:b/>
                <w:color w:val="000000" w:themeColor="text1"/>
              </w:rPr>
            </w:pPr>
          </w:p>
        </w:tc>
        <w:tc>
          <w:tcPr>
            <w:tcW w:w="4261" w:type="dxa"/>
            <w:shd w:val="clear" w:color="auto" w:fill="auto"/>
            <w:vAlign w:val="center"/>
          </w:tcPr>
          <w:p w:rsidR="00A25E15" w:rsidRPr="00DC34AE" w:rsidRDefault="00A25E15" w:rsidP="006B1EFF">
            <w:pPr>
              <w:rPr>
                <w:color w:val="000000" w:themeColor="text1"/>
              </w:rPr>
            </w:pPr>
            <w:r w:rsidRPr="00DC34AE">
              <w:rPr>
                <w:color w:val="000000" w:themeColor="text1"/>
              </w:rPr>
              <w:t xml:space="preserve">2b. Determine the structure by elaborating on each law and procedure </w:t>
            </w:r>
          </w:p>
        </w:tc>
        <w:tc>
          <w:tcPr>
            <w:tcW w:w="2304" w:type="dxa"/>
            <w:vMerge/>
            <w:shd w:val="clear" w:color="auto" w:fill="auto"/>
            <w:vAlign w:val="center"/>
          </w:tcPr>
          <w:p w:rsidR="00A25E15" w:rsidRPr="00DC34AE" w:rsidRDefault="00A25E15" w:rsidP="006B1EFF">
            <w:pPr>
              <w:rPr>
                <w:color w:val="000000" w:themeColor="text1"/>
              </w:rPr>
            </w:pPr>
          </w:p>
        </w:tc>
        <w:tc>
          <w:tcPr>
            <w:tcW w:w="1350" w:type="dxa"/>
            <w:vMerge/>
            <w:shd w:val="clear" w:color="auto" w:fill="auto"/>
            <w:vAlign w:val="center"/>
          </w:tcPr>
          <w:p w:rsidR="00A25E15" w:rsidRPr="00DC34AE" w:rsidRDefault="00A25E15" w:rsidP="00596DE0">
            <w:pPr>
              <w:rPr>
                <w:color w:val="000000" w:themeColor="text1"/>
              </w:rPr>
            </w:pPr>
          </w:p>
        </w:tc>
        <w:tc>
          <w:tcPr>
            <w:tcW w:w="1194" w:type="dxa"/>
            <w:vMerge/>
            <w:shd w:val="clear" w:color="auto" w:fill="auto"/>
          </w:tcPr>
          <w:p w:rsidR="00A25E15" w:rsidRPr="00DC34AE" w:rsidRDefault="00A25E15" w:rsidP="006B1EFF">
            <w:pPr>
              <w:rPr>
                <w:color w:val="000000" w:themeColor="text1"/>
              </w:rPr>
            </w:pPr>
          </w:p>
        </w:tc>
      </w:tr>
      <w:tr w:rsidR="00774CD2" w:rsidTr="00B017FC">
        <w:trPr>
          <w:trHeight w:val="455"/>
        </w:trPr>
        <w:tc>
          <w:tcPr>
            <w:tcW w:w="4320" w:type="dxa"/>
            <w:vMerge w:val="restart"/>
            <w:shd w:val="clear" w:color="auto" w:fill="D9E2F3" w:themeFill="accent5" w:themeFillTint="33"/>
            <w:vAlign w:val="center"/>
          </w:tcPr>
          <w:p w:rsidR="00774CD2" w:rsidRPr="00DC34AE" w:rsidRDefault="00774CD2" w:rsidP="00774CD2">
            <w:pPr>
              <w:jc w:val="both"/>
              <w:rPr>
                <w:color w:val="000000" w:themeColor="text1"/>
              </w:rPr>
            </w:pPr>
            <w:r w:rsidRPr="00DC34AE">
              <w:rPr>
                <w:color w:val="000000" w:themeColor="text1"/>
              </w:rPr>
              <w:t>2. Define basic architecture of PSC</w:t>
            </w:r>
          </w:p>
          <w:p w:rsidR="00774CD2" w:rsidRPr="00DC34AE" w:rsidRDefault="00774CD2" w:rsidP="00774CD2">
            <w:pPr>
              <w:jc w:val="both"/>
              <w:rPr>
                <w:color w:val="000000" w:themeColor="text1"/>
              </w:rPr>
            </w:pPr>
            <w:r w:rsidRPr="00DC34AE">
              <w:rPr>
                <w:color w:val="000000" w:themeColor="text1"/>
              </w:rPr>
              <w:t>(review some examples of PSC on EU)</w:t>
            </w:r>
          </w:p>
          <w:p w:rsidR="00774CD2" w:rsidRPr="00DC34AE" w:rsidRDefault="00774CD2" w:rsidP="00774CD2">
            <w:pPr>
              <w:jc w:val="both"/>
              <w:rPr>
                <w:color w:val="000000" w:themeColor="text1"/>
              </w:rPr>
            </w:pPr>
            <w:r>
              <w:rPr>
                <w:color w:val="000000" w:themeColor="text1"/>
              </w:rPr>
              <w:t>Including establishment or inclusion of</w:t>
            </w:r>
            <w:r w:rsidRPr="00DC34AE">
              <w:rPr>
                <w:color w:val="000000" w:themeColor="text1"/>
              </w:rPr>
              <w:t xml:space="preserve"> freedom to provide services</w:t>
            </w:r>
            <w:r>
              <w:rPr>
                <w:color w:val="000000" w:themeColor="text1"/>
              </w:rPr>
              <w:t>.</w:t>
            </w:r>
          </w:p>
        </w:tc>
        <w:tc>
          <w:tcPr>
            <w:tcW w:w="4261" w:type="dxa"/>
            <w:shd w:val="clear" w:color="auto" w:fill="auto"/>
            <w:vAlign w:val="center"/>
          </w:tcPr>
          <w:p w:rsidR="00774CD2" w:rsidRPr="00DC34AE" w:rsidRDefault="00774CD2" w:rsidP="00774CD2">
            <w:pPr>
              <w:rPr>
                <w:color w:val="000000" w:themeColor="text1"/>
              </w:rPr>
            </w:pPr>
            <w:r>
              <w:rPr>
                <w:color w:val="000000" w:themeColor="text1"/>
              </w:rPr>
              <w:t>2a</w:t>
            </w:r>
            <w:r w:rsidRPr="00DC34AE">
              <w:rPr>
                <w:color w:val="000000" w:themeColor="text1"/>
              </w:rPr>
              <w:t>. Review PSC formats in EU Members</w:t>
            </w:r>
          </w:p>
        </w:tc>
        <w:tc>
          <w:tcPr>
            <w:tcW w:w="2304" w:type="dxa"/>
            <w:vMerge w:val="restart"/>
            <w:shd w:val="clear" w:color="auto" w:fill="auto"/>
            <w:vAlign w:val="center"/>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(Department of Trade)</w:t>
            </w:r>
          </w:p>
        </w:tc>
        <w:tc>
          <w:tcPr>
            <w:tcW w:w="1350" w:type="dxa"/>
            <w:vMerge w:val="restart"/>
            <w:shd w:val="clear" w:color="auto" w:fill="auto"/>
            <w:vAlign w:val="center"/>
          </w:tcPr>
          <w:p w:rsidR="00774CD2" w:rsidRPr="00DC34AE" w:rsidRDefault="00774CD2" w:rsidP="00774CD2">
            <w:pPr>
              <w:rPr>
                <w:color w:val="000000" w:themeColor="text1"/>
              </w:rPr>
            </w:pPr>
            <w:r>
              <w:rPr>
                <w:color w:val="000000" w:themeColor="text1"/>
              </w:rPr>
              <w:t>March 2020</w:t>
            </w:r>
          </w:p>
        </w:tc>
        <w:tc>
          <w:tcPr>
            <w:tcW w:w="1194" w:type="dxa"/>
            <w:vMerge w:val="restart"/>
            <w:shd w:val="clear" w:color="auto" w:fill="auto"/>
          </w:tcPr>
          <w:p w:rsidR="00774CD2" w:rsidRPr="00DC34AE" w:rsidRDefault="00774CD2" w:rsidP="00774CD2">
            <w:pPr>
              <w:rPr>
                <w:color w:val="000000" w:themeColor="text1"/>
              </w:rPr>
            </w:pPr>
            <w:r>
              <w:rPr>
                <w:color w:val="000000" w:themeColor="text1"/>
              </w:rPr>
              <w:t>Financed to provided by the EU twinning project</w:t>
            </w:r>
          </w:p>
          <w:p w:rsidR="00774CD2" w:rsidRPr="00DC34AE" w:rsidRDefault="00774CD2" w:rsidP="00774CD2">
            <w:pPr>
              <w:rPr>
                <w:color w:val="000000" w:themeColor="text1"/>
              </w:rPr>
            </w:pPr>
          </w:p>
        </w:tc>
      </w:tr>
      <w:tr w:rsidR="00774CD2" w:rsidTr="00B017FC">
        <w:trPr>
          <w:trHeight w:val="455"/>
        </w:trPr>
        <w:tc>
          <w:tcPr>
            <w:tcW w:w="4320" w:type="dxa"/>
            <w:vMerge/>
            <w:shd w:val="clear" w:color="auto" w:fill="FFFFFF" w:themeFill="background1"/>
            <w:vAlign w:val="center"/>
          </w:tcPr>
          <w:p w:rsidR="00774CD2" w:rsidRPr="00DC34AE" w:rsidRDefault="00774CD2" w:rsidP="00774CD2">
            <w:pPr>
              <w:jc w:val="both"/>
              <w:rPr>
                <w:color w:val="000000" w:themeColor="text1"/>
              </w:rPr>
            </w:pPr>
          </w:p>
        </w:tc>
        <w:tc>
          <w:tcPr>
            <w:tcW w:w="4261" w:type="dxa"/>
            <w:shd w:val="clear" w:color="auto" w:fill="auto"/>
            <w:vAlign w:val="center"/>
          </w:tcPr>
          <w:p w:rsidR="00774CD2" w:rsidRPr="00DC34AE" w:rsidRDefault="00774CD2" w:rsidP="00774CD2">
            <w:pPr>
              <w:rPr>
                <w:color w:val="000000" w:themeColor="text1"/>
              </w:rPr>
            </w:pPr>
            <w:r>
              <w:rPr>
                <w:color w:val="000000" w:themeColor="text1"/>
              </w:rPr>
              <w:t>2b</w:t>
            </w:r>
            <w:r w:rsidRPr="00DC34AE">
              <w:rPr>
                <w:color w:val="000000" w:themeColor="text1"/>
              </w:rPr>
              <w:t>. Find a role-model country as a reference point and example for  a PSC in Kosovo</w:t>
            </w:r>
            <w:r w:rsidRPr="00DC34AE">
              <w:rPr>
                <w:color w:val="000000" w:themeColor="text1"/>
              </w:rPr>
              <w:tab/>
            </w:r>
          </w:p>
        </w:tc>
        <w:tc>
          <w:tcPr>
            <w:tcW w:w="2304" w:type="dxa"/>
            <w:vMerge/>
            <w:shd w:val="clear" w:color="auto" w:fill="auto"/>
            <w:vAlign w:val="center"/>
          </w:tcPr>
          <w:p w:rsidR="00774CD2" w:rsidRPr="00DC34AE" w:rsidRDefault="00774CD2" w:rsidP="00774CD2">
            <w:pPr>
              <w:rPr>
                <w:color w:val="000000" w:themeColor="text1"/>
              </w:rPr>
            </w:pPr>
          </w:p>
        </w:tc>
        <w:tc>
          <w:tcPr>
            <w:tcW w:w="1350" w:type="dxa"/>
            <w:vMerge/>
            <w:shd w:val="clear" w:color="auto" w:fill="auto"/>
            <w:vAlign w:val="center"/>
          </w:tcPr>
          <w:p w:rsidR="00774CD2" w:rsidRPr="00DC34AE" w:rsidRDefault="00774CD2" w:rsidP="00774CD2">
            <w:pPr>
              <w:rPr>
                <w:color w:val="000000" w:themeColor="text1"/>
              </w:rPr>
            </w:pPr>
          </w:p>
        </w:tc>
        <w:tc>
          <w:tcPr>
            <w:tcW w:w="1194" w:type="dxa"/>
            <w:vMerge/>
            <w:shd w:val="clear" w:color="auto" w:fill="auto"/>
          </w:tcPr>
          <w:p w:rsidR="00774CD2" w:rsidRPr="00DC34AE" w:rsidRDefault="00774CD2" w:rsidP="00774CD2">
            <w:pPr>
              <w:rPr>
                <w:color w:val="000000" w:themeColor="text1"/>
              </w:rPr>
            </w:pPr>
          </w:p>
        </w:tc>
      </w:tr>
      <w:tr w:rsidR="00774CD2" w:rsidTr="00B017FC">
        <w:trPr>
          <w:trHeight w:val="234"/>
        </w:trPr>
        <w:tc>
          <w:tcPr>
            <w:tcW w:w="4320" w:type="dxa"/>
            <w:vMerge/>
            <w:shd w:val="clear" w:color="auto" w:fill="FFFFFF" w:themeFill="background1"/>
            <w:vAlign w:val="center"/>
          </w:tcPr>
          <w:p w:rsidR="00774CD2" w:rsidRPr="00DC34AE" w:rsidRDefault="00774CD2" w:rsidP="00774CD2">
            <w:pPr>
              <w:jc w:val="both"/>
              <w:rPr>
                <w:b/>
                <w:color w:val="000000" w:themeColor="text1"/>
              </w:rPr>
            </w:pPr>
          </w:p>
        </w:tc>
        <w:tc>
          <w:tcPr>
            <w:tcW w:w="4261" w:type="dxa"/>
            <w:shd w:val="clear" w:color="auto" w:fill="auto"/>
            <w:vAlign w:val="center"/>
          </w:tcPr>
          <w:p w:rsidR="00774CD2" w:rsidRPr="00DC34AE" w:rsidRDefault="00774CD2" w:rsidP="00774CD2">
            <w:pPr>
              <w:rPr>
                <w:color w:val="000000" w:themeColor="text1"/>
              </w:rPr>
            </w:pPr>
            <w:r w:rsidRPr="000F36B0">
              <w:rPr>
                <w:color w:val="000000" w:themeColor="text1"/>
              </w:rPr>
              <w:t>2c.</w:t>
            </w:r>
            <w:r w:rsidRPr="00DC34AE">
              <w:rPr>
                <w:color w:val="000000" w:themeColor="text1"/>
              </w:rPr>
              <w:t xml:space="preserve"> Identify the preferable structure of the PSC for Kosovo</w:t>
            </w:r>
          </w:p>
        </w:tc>
        <w:tc>
          <w:tcPr>
            <w:tcW w:w="2304" w:type="dxa"/>
            <w:vMerge/>
            <w:shd w:val="clear" w:color="auto" w:fill="auto"/>
            <w:vAlign w:val="center"/>
          </w:tcPr>
          <w:p w:rsidR="00774CD2" w:rsidRPr="00DC34AE" w:rsidRDefault="00774CD2" w:rsidP="00774CD2">
            <w:pPr>
              <w:rPr>
                <w:color w:val="000000" w:themeColor="text1"/>
              </w:rPr>
            </w:pPr>
          </w:p>
        </w:tc>
        <w:tc>
          <w:tcPr>
            <w:tcW w:w="1350" w:type="dxa"/>
            <w:vMerge/>
            <w:shd w:val="clear" w:color="auto" w:fill="auto"/>
            <w:vAlign w:val="center"/>
          </w:tcPr>
          <w:p w:rsidR="00774CD2" w:rsidRPr="00DC34AE" w:rsidRDefault="00774CD2" w:rsidP="00774CD2">
            <w:pPr>
              <w:rPr>
                <w:color w:val="000000" w:themeColor="text1"/>
              </w:rPr>
            </w:pPr>
          </w:p>
        </w:tc>
        <w:tc>
          <w:tcPr>
            <w:tcW w:w="1194" w:type="dxa"/>
            <w:vMerge/>
            <w:shd w:val="clear" w:color="auto" w:fill="auto"/>
          </w:tcPr>
          <w:p w:rsidR="00774CD2" w:rsidRPr="00DC34AE" w:rsidRDefault="00774CD2" w:rsidP="00774CD2">
            <w:pPr>
              <w:rPr>
                <w:color w:val="000000" w:themeColor="text1"/>
              </w:rPr>
            </w:pPr>
          </w:p>
        </w:tc>
      </w:tr>
      <w:tr w:rsidR="00774CD2" w:rsidTr="00B017FC">
        <w:trPr>
          <w:trHeight w:val="467"/>
        </w:trPr>
        <w:tc>
          <w:tcPr>
            <w:tcW w:w="4320" w:type="dxa"/>
            <w:vMerge w:val="restart"/>
            <w:shd w:val="clear" w:color="auto" w:fill="FFF2CC" w:themeFill="accent4" w:themeFillTint="33"/>
            <w:vAlign w:val="center"/>
          </w:tcPr>
          <w:p w:rsidR="00774CD2" w:rsidRPr="00DC34AE" w:rsidRDefault="00774CD2" w:rsidP="00774CD2">
            <w:pPr>
              <w:jc w:val="both"/>
              <w:rPr>
                <w:color w:val="000000" w:themeColor="text1"/>
              </w:rPr>
            </w:pPr>
            <w:r w:rsidRPr="00DC34AE">
              <w:rPr>
                <w:color w:val="000000" w:themeColor="text1"/>
              </w:rPr>
              <w:t>3. Identify all the entities that are going to participate on PSC, central and local level</w:t>
            </w: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3a. Make a list of the relevant institutions and disaggregate them on a central and local level</w:t>
            </w:r>
          </w:p>
        </w:tc>
        <w:tc>
          <w:tcPr>
            <w:tcW w:w="2304" w:type="dxa"/>
            <w:vMerge w:val="restart"/>
            <w:shd w:val="clear" w:color="auto" w:fill="auto"/>
            <w:vAlign w:val="center"/>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(Department of Trade)</w:t>
            </w:r>
          </w:p>
        </w:tc>
        <w:tc>
          <w:tcPr>
            <w:tcW w:w="1350" w:type="dxa"/>
            <w:vMerge w:val="restart"/>
            <w:shd w:val="clear" w:color="auto" w:fill="auto"/>
            <w:vAlign w:val="center"/>
          </w:tcPr>
          <w:p w:rsidR="00774CD2" w:rsidRPr="00DC34AE" w:rsidRDefault="00774CD2" w:rsidP="00774CD2">
            <w:pPr>
              <w:rPr>
                <w:color w:val="000000" w:themeColor="text1"/>
              </w:rPr>
            </w:pPr>
            <w:r>
              <w:rPr>
                <w:color w:val="000000" w:themeColor="text1"/>
              </w:rPr>
              <w:t>November 2020</w:t>
            </w:r>
          </w:p>
        </w:tc>
        <w:tc>
          <w:tcPr>
            <w:tcW w:w="1194" w:type="dxa"/>
            <w:vMerge w:val="restart"/>
            <w:shd w:val="clear" w:color="auto" w:fill="auto"/>
          </w:tcPr>
          <w:p w:rsidR="00774CD2" w:rsidRPr="00DC34AE" w:rsidRDefault="00774CD2" w:rsidP="00774CD2">
            <w:pPr>
              <w:rPr>
                <w:color w:val="000000" w:themeColor="text1"/>
              </w:rPr>
            </w:pPr>
            <w:r>
              <w:rPr>
                <w:color w:val="000000" w:themeColor="text1"/>
              </w:rPr>
              <w:t>Financed to provided by the EU twinning project</w:t>
            </w:r>
          </w:p>
          <w:p w:rsidR="00774CD2" w:rsidRPr="00DC34AE" w:rsidRDefault="00774CD2" w:rsidP="00774CD2">
            <w:pPr>
              <w:rPr>
                <w:color w:val="000000" w:themeColor="text1"/>
              </w:rPr>
            </w:pPr>
          </w:p>
        </w:tc>
      </w:tr>
      <w:tr w:rsidR="00774CD2" w:rsidTr="00B017FC">
        <w:trPr>
          <w:trHeight w:val="467"/>
        </w:trPr>
        <w:tc>
          <w:tcPr>
            <w:tcW w:w="4320" w:type="dxa"/>
            <w:vMerge/>
            <w:shd w:val="clear" w:color="auto" w:fill="FFFFFF" w:themeFill="background1"/>
            <w:vAlign w:val="center"/>
          </w:tcPr>
          <w:p w:rsidR="00774CD2" w:rsidRPr="00DC34AE" w:rsidRDefault="00774CD2" w:rsidP="00774CD2">
            <w:pPr>
              <w:jc w:val="both"/>
              <w:rPr>
                <w:color w:val="000000" w:themeColor="text1"/>
              </w:rPr>
            </w:pP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3b. Identify specific procedures on each entity</w:t>
            </w:r>
          </w:p>
        </w:tc>
        <w:tc>
          <w:tcPr>
            <w:tcW w:w="2304" w:type="dxa"/>
            <w:vMerge/>
            <w:shd w:val="clear" w:color="auto" w:fill="auto"/>
          </w:tcPr>
          <w:p w:rsidR="00774CD2" w:rsidRPr="00DC34AE" w:rsidRDefault="00774CD2" w:rsidP="00774CD2">
            <w:pPr>
              <w:rPr>
                <w:color w:val="000000" w:themeColor="text1"/>
              </w:rPr>
            </w:pPr>
          </w:p>
        </w:tc>
        <w:tc>
          <w:tcPr>
            <w:tcW w:w="1350" w:type="dxa"/>
            <w:vMerge/>
            <w:shd w:val="clear" w:color="auto" w:fill="auto"/>
            <w:vAlign w:val="center"/>
          </w:tcPr>
          <w:p w:rsidR="00774CD2" w:rsidRPr="00DC34AE" w:rsidRDefault="00774CD2" w:rsidP="00774CD2">
            <w:pPr>
              <w:rPr>
                <w:color w:val="000000" w:themeColor="text1"/>
              </w:rPr>
            </w:pPr>
          </w:p>
        </w:tc>
        <w:tc>
          <w:tcPr>
            <w:tcW w:w="1194" w:type="dxa"/>
            <w:vMerge/>
            <w:shd w:val="clear" w:color="auto" w:fill="auto"/>
          </w:tcPr>
          <w:p w:rsidR="00774CD2" w:rsidRPr="00DC34AE" w:rsidRDefault="00774CD2" w:rsidP="00774CD2">
            <w:pPr>
              <w:rPr>
                <w:color w:val="000000" w:themeColor="text1"/>
              </w:rPr>
            </w:pPr>
          </w:p>
        </w:tc>
      </w:tr>
      <w:tr w:rsidR="00774CD2" w:rsidTr="00B017FC">
        <w:trPr>
          <w:trHeight w:val="550"/>
        </w:trPr>
        <w:tc>
          <w:tcPr>
            <w:tcW w:w="4320" w:type="dxa"/>
            <w:vMerge/>
            <w:shd w:val="clear" w:color="auto" w:fill="FFFFFF" w:themeFill="background1"/>
            <w:vAlign w:val="center"/>
          </w:tcPr>
          <w:p w:rsidR="00774CD2" w:rsidRPr="00DC34AE" w:rsidRDefault="00774CD2" w:rsidP="00774CD2">
            <w:pPr>
              <w:jc w:val="both"/>
              <w:rPr>
                <w:color w:val="000000" w:themeColor="text1"/>
              </w:rPr>
            </w:pP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3c. Identify the function of listed institutions in PSC</w:t>
            </w:r>
          </w:p>
        </w:tc>
        <w:tc>
          <w:tcPr>
            <w:tcW w:w="2304" w:type="dxa"/>
            <w:vMerge/>
            <w:shd w:val="clear" w:color="auto" w:fill="auto"/>
          </w:tcPr>
          <w:p w:rsidR="00774CD2" w:rsidRPr="00DC34AE" w:rsidRDefault="00774CD2" w:rsidP="00774CD2">
            <w:pPr>
              <w:rPr>
                <w:color w:val="000000" w:themeColor="text1"/>
              </w:rPr>
            </w:pPr>
          </w:p>
        </w:tc>
        <w:tc>
          <w:tcPr>
            <w:tcW w:w="1350" w:type="dxa"/>
            <w:vMerge/>
            <w:shd w:val="clear" w:color="auto" w:fill="auto"/>
            <w:vAlign w:val="center"/>
          </w:tcPr>
          <w:p w:rsidR="00774CD2" w:rsidRPr="00DC34AE" w:rsidRDefault="00774CD2" w:rsidP="00774CD2">
            <w:pPr>
              <w:rPr>
                <w:color w:val="000000" w:themeColor="text1"/>
              </w:rPr>
            </w:pPr>
          </w:p>
        </w:tc>
        <w:tc>
          <w:tcPr>
            <w:tcW w:w="1194" w:type="dxa"/>
            <w:vMerge/>
            <w:shd w:val="clear" w:color="auto" w:fill="auto"/>
          </w:tcPr>
          <w:p w:rsidR="00774CD2" w:rsidRPr="00DC34AE" w:rsidRDefault="00774CD2" w:rsidP="00774CD2">
            <w:pPr>
              <w:rPr>
                <w:color w:val="000000" w:themeColor="text1"/>
              </w:rPr>
            </w:pPr>
          </w:p>
        </w:tc>
      </w:tr>
      <w:tr w:rsidR="00774CD2" w:rsidTr="00B017FC">
        <w:trPr>
          <w:trHeight w:val="860"/>
        </w:trPr>
        <w:tc>
          <w:tcPr>
            <w:tcW w:w="4320" w:type="dxa"/>
            <w:shd w:val="clear" w:color="auto" w:fill="EDEDED" w:themeFill="accent3" w:themeFillTint="33"/>
            <w:vAlign w:val="center"/>
          </w:tcPr>
          <w:p w:rsidR="00774CD2" w:rsidRPr="00DC34AE" w:rsidRDefault="00774CD2" w:rsidP="00774CD2">
            <w:pPr>
              <w:jc w:val="both"/>
              <w:rPr>
                <w:color w:val="000000" w:themeColor="text1"/>
              </w:rPr>
            </w:pPr>
            <w:r w:rsidRPr="00DC34AE">
              <w:rPr>
                <w:color w:val="000000" w:themeColor="text1"/>
              </w:rPr>
              <w:t>4. IT capabilities and gap analysis for each entity involved in PSC</w:t>
            </w: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4a. Create an evaluation criteria for an assessment on IT Capabilities gap analysis</w:t>
            </w:r>
          </w:p>
        </w:tc>
        <w:tc>
          <w:tcPr>
            <w:tcW w:w="2304" w:type="dxa"/>
            <w:shd w:val="clear" w:color="auto" w:fill="auto"/>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(Department of Trade)</w:t>
            </w:r>
          </w:p>
        </w:tc>
        <w:tc>
          <w:tcPr>
            <w:tcW w:w="1350" w:type="dxa"/>
            <w:shd w:val="clear" w:color="auto" w:fill="auto"/>
            <w:vAlign w:val="center"/>
          </w:tcPr>
          <w:p w:rsidR="00774CD2" w:rsidRPr="00DC34AE" w:rsidRDefault="00774CD2" w:rsidP="00774CD2">
            <w:pPr>
              <w:rPr>
                <w:color w:val="000000" w:themeColor="text1"/>
              </w:rPr>
            </w:pPr>
            <w:r>
              <w:rPr>
                <w:color w:val="000000" w:themeColor="text1"/>
              </w:rPr>
              <w:t>January 2021</w:t>
            </w:r>
          </w:p>
        </w:tc>
        <w:tc>
          <w:tcPr>
            <w:tcW w:w="1194" w:type="dxa"/>
            <w:shd w:val="clear" w:color="auto" w:fill="auto"/>
          </w:tcPr>
          <w:p w:rsidR="00774CD2" w:rsidRPr="00DC34AE" w:rsidRDefault="00774CD2" w:rsidP="00774CD2">
            <w:pPr>
              <w:rPr>
                <w:color w:val="000000" w:themeColor="text1"/>
              </w:rPr>
            </w:pPr>
            <w:r>
              <w:rPr>
                <w:color w:val="000000" w:themeColor="text1"/>
              </w:rPr>
              <w:t>Financed to provided by the EU twinning project</w:t>
            </w:r>
          </w:p>
          <w:p w:rsidR="00774CD2" w:rsidRPr="00DC34AE" w:rsidRDefault="00774CD2" w:rsidP="00774CD2">
            <w:pPr>
              <w:rPr>
                <w:color w:val="000000" w:themeColor="text1"/>
              </w:rPr>
            </w:pPr>
          </w:p>
        </w:tc>
      </w:tr>
      <w:tr w:rsidR="00774CD2" w:rsidTr="00B017FC">
        <w:trPr>
          <w:trHeight w:val="405"/>
        </w:trPr>
        <w:tc>
          <w:tcPr>
            <w:tcW w:w="4320" w:type="dxa"/>
            <w:vMerge w:val="restart"/>
            <w:shd w:val="clear" w:color="auto" w:fill="FBE4D5" w:themeFill="accent2" w:themeFillTint="33"/>
            <w:vAlign w:val="center"/>
          </w:tcPr>
          <w:p w:rsidR="00774CD2" w:rsidRPr="00DC34AE" w:rsidRDefault="00774CD2" w:rsidP="00774CD2">
            <w:pPr>
              <w:jc w:val="both"/>
              <w:rPr>
                <w:color w:val="000000" w:themeColor="text1"/>
              </w:rPr>
            </w:pPr>
            <w:r w:rsidRPr="00DC34AE">
              <w:rPr>
                <w:color w:val="000000" w:themeColor="text1"/>
              </w:rPr>
              <w:t>5. Define what to be done on each entity in order to be ready to be member of PSC</w:t>
            </w: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5a. Create an evaluation criteria for assessment on institutional capability to become a member of PSC</w:t>
            </w:r>
          </w:p>
        </w:tc>
        <w:tc>
          <w:tcPr>
            <w:tcW w:w="2304" w:type="dxa"/>
            <w:vMerge w:val="restart"/>
            <w:shd w:val="clear" w:color="auto" w:fill="auto"/>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(Department of Trade)</w:t>
            </w:r>
          </w:p>
        </w:tc>
        <w:tc>
          <w:tcPr>
            <w:tcW w:w="1350" w:type="dxa"/>
            <w:vMerge w:val="restart"/>
            <w:shd w:val="clear" w:color="auto" w:fill="auto"/>
            <w:vAlign w:val="center"/>
          </w:tcPr>
          <w:p w:rsidR="00774CD2" w:rsidRPr="00DC34AE" w:rsidRDefault="00774CD2" w:rsidP="00774CD2">
            <w:pPr>
              <w:rPr>
                <w:color w:val="000000" w:themeColor="text1"/>
              </w:rPr>
            </w:pPr>
            <w:r>
              <w:rPr>
                <w:color w:val="000000" w:themeColor="text1"/>
              </w:rPr>
              <w:t>July 2021</w:t>
            </w:r>
          </w:p>
        </w:tc>
        <w:tc>
          <w:tcPr>
            <w:tcW w:w="1194" w:type="dxa"/>
            <w:vMerge w:val="restart"/>
            <w:shd w:val="clear" w:color="auto" w:fill="auto"/>
          </w:tcPr>
          <w:p w:rsidR="00774CD2" w:rsidRPr="00DC34AE" w:rsidRDefault="00774CD2" w:rsidP="00774CD2">
            <w:pPr>
              <w:rPr>
                <w:color w:val="000000" w:themeColor="text1"/>
              </w:rPr>
            </w:pPr>
            <w:r>
              <w:rPr>
                <w:color w:val="000000" w:themeColor="text1"/>
              </w:rPr>
              <w:t xml:space="preserve">Financed to </w:t>
            </w:r>
            <w:r w:rsidR="00431621">
              <w:rPr>
                <w:color w:val="000000" w:themeColor="text1"/>
              </w:rPr>
              <w:t xml:space="preserve">be </w:t>
            </w:r>
            <w:r>
              <w:rPr>
                <w:color w:val="000000" w:themeColor="text1"/>
              </w:rPr>
              <w:t>provided by the EU twinning project</w:t>
            </w:r>
          </w:p>
          <w:p w:rsidR="00774CD2" w:rsidRPr="00DC34AE" w:rsidRDefault="00774CD2" w:rsidP="00774CD2">
            <w:pPr>
              <w:rPr>
                <w:color w:val="000000" w:themeColor="text1"/>
              </w:rPr>
            </w:pPr>
          </w:p>
        </w:tc>
      </w:tr>
      <w:tr w:rsidR="00774CD2" w:rsidTr="00B017FC">
        <w:trPr>
          <w:trHeight w:val="405"/>
        </w:trPr>
        <w:tc>
          <w:tcPr>
            <w:tcW w:w="4320" w:type="dxa"/>
            <w:vMerge/>
            <w:shd w:val="clear" w:color="auto" w:fill="FFFFFF" w:themeFill="background1"/>
            <w:vAlign w:val="center"/>
          </w:tcPr>
          <w:p w:rsidR="00774CD2" w:rsidRPr="00DC34AE" w:rsidRDefault="00774CD2" w:rsidP="00774CD2">
            <w:pPr>
              <w:jc w:val="both"/>
              <w:rPr>
                <w:color w:val="000000" w:themeColor="text1"/>
              </w:rPr>
            </w:pP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 xml:space="preserve">5b. Create a work-program for each institution respectively </w:t>
            </w:r>
          </w:p>
        </w:tc>
        <w:tc>
          <w:tcPr>
            <w:tcW w:w="2304" w:type="dxa"/>
            <w:vMerge/>
            <w:shd w:val="clear" w:color="auto" w:fill="auto"/>
          </w:tcPr>
          <w:p w:rsidR="00774CD2" w:rsidRPr="00DC34AE" w:rsidRDefault="00774CD2" w:rsidP="00774CD2">
            <w:pPr>
              <w:rPr>
                <w:color w:val="000000" w:themeColor="text1"/>
              </w:rPr>
            </w:pPr>
          </w:p>
        </w:tc>
        <w:tc>
          <w:tcPr>
            <w:tcW w:w="1350" w:type="dxa"/>
            <w:vMerge/>
            <w:shd w:val="clear" w:color="auto" w:fill="auto"/>
            <w:vAlign w:val="center"/>
          </w:tcPr>
          <w:p w:rsidR="00774CD2" w:rsidRPr="00DC34AE" w:rsidRDefault="00774CD2" w:rsidP="00774CD2">
            <w:pPr>
              <w:rPr>
                <w:color w:val="000000" w:themeColor="text1"/>
              </w:rPr>
            </w:pPr>
          </w:p>
        </w:tc>
        <w:tc>
          <w:tcPr>
            <w:tcW w:w="1194" w:type="dxa"/>
            <w:vMerge/>
            <w:shd w:val="clear" w:color="auto" w:fill="auto"/>
          </w:tcPr>
          <w:p w:rsidR="00774CD2" w:rsidRPr="00DC34AE" w:rsidRDefault="00774CD2" w:rsidP="00774CD2">
            <w:pPr>
              <w:rPr>
                <w:color w:val="000000" w:themeColor="text1"/>
              </w:rPr>
            </w:pPr>
          </w:p>
        </w:tc>
      </w:tr>
      <w:tr w:rsidR="00774CD2" w:rsidTr="00B017FC">
        <w:trPr>
          <w:trHeight w:val="806"/>
        </w:trPr>
        <w:tc>
          <w:tcPr>
            <w:tcW w:w="4320" w:type="dxa"/>
            <w:shd w:val="clear" w:color="auto" w:fill="FFC000"/>
            <w:vAlign w:val="center"/>
          </w:tcPr>
          <w:p w:rsidR="00774CD2" w:rsidRPr="00DC34AE" w:rsidRDefault="00774CD2" w:rsidP="00774CD2">
            <w:pPr>
              <w:jc w:val="both"/>
              <w:rPr>
                <w:color w:val="000000" w:themeColor="text1"/>
              </w:rPr>
            </w:pPr>
            <w:r w:rsidRPr="00DC34AE">
              <w:rPr>
                <w:color w:val="000000" w:themeColor="text1"/>
              </w:rPr>
              <w:t>6. Implementation of the work-program in each entity as appropriate</w:t>
            </w: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6a. Design the monitoring instruments on work-program for relevant institutions</w:t>
            </w:r>
          </w:p>
        </w:tc>
        <w:tc>
          <w:tcPr>
            <w:tcW w:w="2304" w:type="dxa"/>
            <w:shd w:val="clear" w:color="auto" w:fill="auto"/>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 xml:space="preserve"> (Trade Department)</w:t>
            </w:r>
          </w:p>
        </w:tc>
        <w:tc>
          <w:tcPr>
            <w:tcW w:w="1350" w:type="dxa"/>
            <w:shd w:val="clear" w:color="auto" w:fill="auto"/>
            <w:vAlign w:val="center"/>
          </w:tcPr>
          <w:p w:rsidR="00774CD2" w:rsidRPr="00DC34AE" w:rsidRDefault="00774CD2" w:rsidP="00774CD2">
            <w:pPr>
              <w:rPr>
                <w:color w:val="000000" w:themeColor="text1"/>
              </w:rPr>
            </w:pPr>
            <w:r>
              <w:rPr>
                <w:color w:val="000000" w:themeColor="text1"/>
              </w:rPr>
              <w:t>September 2021</w:t>
            </w:r>
          </w:p>
        </w:tc>
        <w:tc>
          <w:tcPr>
            <w:tcW w:w="1194" w:type="dxa"/>
            <w:shd w:val="clear" w:color="auto" w:fill="auto"/>
          </w:tcPr>
          <w:p w:rsidR="00774CD2" w:rsidRPr="00DC34AE" w:rsidRDefault="00774CD2" w:rsidP="00774CD2">
            <w:pPr>
              <w:rPr>
                <w:color w:val="000000" w:themeColor="text1"/>
              </w:rPr>
            </w:pPr>
            <w:r>
              <w:rPr>
                <w:color w:val="000000" w:themeColor="text1"/>
              </w:rPr>
              <w:t>Financed to</w:t>
            </w:r>
            <w:r w:rsidR="00431621">
              <w:rPr>
                <w:color w:val="000000" w:themeColor="text1"/>
              </w:rPr>
              <w:t xml:space="preserve"> be</w:t>
            </w:r>
            <w:r>
              <w:rPr>
                <w:color w:val="000000" w:themeColor="text1"/>
              </w:rPr>
              <w:t xml:space="preserve"> provided by the EU twinning project</w:t>
            </w:r>
          </w:p>
          <w:p w:rsidR="00774CD2" w:rsidRPr="00DC34AE" w:rsidRDefault="00774CD2" w:rsidP="00774CD2">
            <w:pPr>
              <w:rPr>
                <w:color w:val="000000" w:themeColor="text1"/>
              </w:rPr>
            </w:pPr>
          </w:p>
        </w:tc>
      </w:tr>
      <w:tr w:rsidR="00774CD2" w:rsidTr="00B017FC">
        <w:trPr>
          <w:trHeight w:val="806"/>
        </w:trPr>
        <w:tc>
          <w:tcPr>
            <w:tcW w:w="4320" w:type="dxa"/>
            <w:shd w:val="clear" w:color="auto" w:fill="00B0F0"/>
            <w:vAlign w:val="center"/>
          </w:tcPr>
          <w:p w:rsidR="00774CD2" w:rsidRPr="00DC34AE" w:rsidRDefault="00774CD2" w:rsidP="00774CD2">
            <w:pPr>
              <w:jc w:val="both"/>
              <w:rPr>
                <w:color w:val="000000" w:themeColor="text1"/>
              </w:rPr>
            </w:pPr>
            <w:r w:rsidRPr="00DC34AE">
              <w:rPr>
                <w:color w:val="000000" w:themeColor="text1"/>
              </w:rPr>
              <w:t>7. Define the software on PSC, software specialist support (tools available at EU level (open source))</w:t>
            </w:r>
          </w:p>
        </w:tc>
        <w:tc>
          <w:tcPr>
            <w:tcW w:w="4261" w:type="dxa"/>
            <w:shd w:val="clear" w:color="auto" w:fill="auto"/>
            <w:vAlign w:val="center"/>
          </w:tcPr>
          <w:p w:rsidR="00774CD2" w:rsidRPr="00DC34AE" w:rsidRDefault="00774CD2" w:rsidP="00774CD2">
            <w:pPr>
              <w:rPr>
                <w:color w:val="000000" w:themeColor="text1"/>
              </w:rPr>
            </w:pPr>
            <w:r w:rsidRPr="00DC34AE">
              <w:rPr>
                <w:color w:val="000000" w:themeColor="text1"/>
              </w:rPr>
              <w:t>7a. Shortlist the relevant suitable software for PSC</w:t>
            </w:r>
          </w:p>
        </w:tc>
        <w:tc>
          <w:tcPr>
            <w:tcW w:w="2304" w:type="dxa"/>
            <w:shd w:val="clear" w:color="auto" w:fill="auto"/>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(Trade Department)</w:t>
            </w:r>
          </w:p>
        </w:tc>
        <w:tc>
          <w:tcPr>
            <w:tcW w:w="1350" w:type="dxa"/>
            <w:shd w:val="clear" w:color="auto" w:fill="auto"/>
            <w:vAlign w:val="center"/>
          </w:tcPr>
          <w:p w:rsidR="00774CD2" w:rsidRPr="00DC34AE" w:rsidRDefault="00774CD2" w:rsidP="00774CD2">
            <w:pPr>
              <w:rPr>
                <w:color w:val="000000" w:themeColor="text1"/>
              </w:rPr>
            </w:pPr>
            <w:r>
              <w:rPr>
                <w:color w:val="000000" w:themeColor="text1"/>
              </w:rPr>
              <w:t>January 2022</w:t>
            </w:r>
          </w:p>
        </w:tc>
        <w:tc>
          <w:tcPr>
            <w:tcW w:w="1194" w:type="dxa"/>
            <w:shd w:val="clear" w:color="auto" w:fill="auto"/>
          </w:tcPr>
          <w:p w:rsidR="00774CD2" w:rsidRPr="00DC34AE" w:rsidRDefault="00774CD2" w:rsidP="00774CD2">
            <w:pPr>
              <w:rPr>
                <w:color w:val="000000" w:themeColor="text1"/>
              </w:rPr>
            </w:pPr>
            <w:r>
              <w:rPr>
                <w:color w:val="000000" w:themeColor="text1"/>
              </w:rPr>
              <w:t>Financed to</w:t>
            </w:r>
            <w:r w:rsidR="00431621">
              <w:rPr>
                <w:color w:val="000000" w:themeColor="text1"/>
              </w:rPr>
              <w:t xml:space="preserve"> be</w:t>
            </w:r>
            <w:r>
              <w:rPr>
                <w:color w:val="000000" w:themeColor="text1"/>
              </w:rPr>
              <w:t xml:space="preserve"> provided by the EU twinning project</w:t>
            </w:r>
          </w:p>
          <w:p w:rsidR="00774CD2" w:rsidRPr="00DC34AE" w:rsidRDefault="00774CD2" w:rsidP="00774CD2">
            <w:pPr>
              <w:rPr>
                <w:color w:val="000000" w:themeColor="text1"/>
              </w:rPr>
            </w:pPr>
          </w:p>
        </w:tc>
      </w:tr>
      <w:tr w:rsidR="00774CD2" w:rsidTr="00B017FC">
        <w:trPr>
          <w:trHeight w:val="480"/>
        </w:trPr>
        <w:tc>
          <w:tcPr>
            <w:tcW w:w="4320" w:type="dxa"/>
            <w:shd w:val="clear" w:color="auto" w:fill="FFCCFF"/>
            <w:vAlign w:val="center"/>
          </w:tcPr>
          <w:p w:rsidR="00774CD2" w:rsidRPr="00DC34AE" w:rsidRDefault="00774CD2" w:rsidP="00774CD2">
            <w:pPr>
              <w:jc w:val="both"/>
              <w:rPr>
                <w:color w:val="000000" w:themeColor="text1"/>
              </w:rPr>
            </w:pPr>
            <w:r>
              <w:rPr>
                <w:color w:val="000000" w:themeColor="text1"/>
              </w:rPr>
              <w:t xml:space="preserve">8. Establishing the Point of Single Contact </w:t>
            </w:r>
          </w:p>
        </w:tc>
        <w:tc>
          <w:tcPr>
            <w:tcW w:w="4261" w:type="dxa"/>
            <w:shd w:val="clear" w:color="auto" w:fill="auto"/>
            <w:vAlign w:val="center"/>
          </w:tcPr>
          <w:p w:rsidR="00774CD2" w:rsidRPr="00DC34AE" w:rsidRDefault="00774CD2" w:rsidP="00774CD2">
            <w:pPr>
              <w:rPr>
                <w:color w:val="000000" w:themeColor="text1"/>
              </w:rPr>
            </w:pPr>
            <w:r>
              <w:rPr>
                <w:color w:val="000000" w:themeColor="text1"/>
              </w:rPr>
              <w:t>Launching the work programme for the implementation of the Point of Single Contact</w:t>
            </w:r>
          </w:p>
        </w:tc>
        <w:tc>
          <w:tcPr>
            <w:tcW w:w="2304" w:type="dxa"/>
            <w:shd w:val="clear" w:color="auto" w:fill="auto"/>
          </w:tcPr>
          <w:p w:rsidR="00774CD2" w:rsidRDefault="00774CD2" w:rsidP="00774CD2">
            <w:pPr>
              <w:rPr>
                <w:color w:val="000000" w:themeColor="text1"/>
              </w:rPr>
            </w:pPr>
            <w:r>
              <w:rPr>
                <w:color w:val="000000" w:themeColor="text1"/>
              </w:rPr>
              <w:t>MEETIES</w:t>
            </w:r>
          </w:p>
          <w:p w:rsidR="00774CD2" w:rsidRPr="00DC34AE" w:rsidRDefault="00774CD2" w:rsidP="00774CD2">
            <w:pPr>
              <w:rPr>
                <w:color w:val="000000" w:themeColor="text1"/>
              </w:rPr>
            </w:pPr>
            <w:r w:rsidRPr="00DC34AE">
              <w:rPr>
                <w:color w:val="000000" w:themeColor="text1"/>
              </w:rPr>
              <w:t>(Trade Department)</w:t>
            </w:r>
          </w:p>
        </w:tc>
        <w:tc>
          <w:tcPr>
            <w:tcW w:w="1350" w:type="dxa"/>
            <w:shd w:val="clear" w:color="auto" w:fill="auto"/>
            <w:vAlign w:val="center"/>
          </w:tcPr>
          <w:p w:rsidR="00774CD2" w:rsidRPr="00DC34AE" w:rsidRDefault="00774CD2" w:rsidP="00774CD2">
            <w:pPr>
              <w:rPr>
                <w:color w:val="000000" w:themeColor="text1"/>
              </w:rPr>
            </w:pPr>
            <w:r>
              <w:rPr>
                <w:color w:val="000000" w:themeColor="text1"/>
              </w:rPr>
              <w:t>June 2022</w:t>
            </w:r>
          </w:p>
        </w:tc>
        <w:tc>
          <w:tcPr>
            <w:tcW w:w="1194" w:type="dxa"/>
            <w:shd w:val="clear" w:color="auto" w:fill="auto"/>
          </w:tcPr>
          <w:p w:rsidR="00774CD2" w:rsidRPr="00DC34AE" w:rsidRDefault="00774CD2" w:rsidP="00774CD2">
            <w:pPr>
              <w:rPr>
                <w:color w:val="000000" w:themeColor="text1"/>
              </w:rPr>
            </w:pPr>
            <w:r>
              <w:rPr>
                <w:color w:val="000000" w:themeColor="text1"/>
              </w:rPr>
              <w:t>Budgetary implications will be provided by the assessment undertaking under the EU twinning project</w:t>
            </w:r>
          </w:p>
        </w:tc>
      </w:tr>
    </w:tbl>
    <w:p w:rsidR="00395D4D" w:rsidRDefault="00395D4D" w:rsidP="00395D4D">
      <w:pPr>
        <w:spacing w:after="0" w:line="240" w:lineRule="auto"/>
        <w:rPr>
          <w:rFonts w:ascii="Calibri" w:eastAsia="Times New Roman" w:hAnsi="Calibri" w:cs="Calibri"/>
          <w:color w:val="000000"/>
          <w:sz w:val="24"/>
          <w:szCs w:val="24"/>
        </w:rPr>
        <w:sectPr w:rsidR="00395D4D" w:rsidSect="00E43C09">
          <w:pgSz w:w="15840" w:h="12240" w:orient="landscape"/>
          <w:pgMar w:top="1440" w:right="1440" w:bottom="1440" w:left="1440" w:header="720" w:footer="720" w:gutter="0"/>
          <w:cols w:space="720"/>
          <w:docGrid w:linePitch="360"/>
        </w:sectPr>
      </w:pPr>
    </w:p>
    <w:tbl>
      <w:tblPr>
        <w:tblW w:w="14419" w:type="dxa"/>
        <w:tblInd w:w="-838" w:type="dxa"/>
        <w:tblLook w:val="04A0" w:firstRow="1" w:lastRow="0" w:firstColumn="1" w:lastColumn="0" w:noHBand="0" w:noVBand="1"/>
      </w:tblPr>
      <w:tblGrid>
        <w:gridCol w:w="9383"/>
        <w:gridCol w:w="1675"/>
        <w:gridCol w:w="1710"/>
        <w:gridCol w:w="1651"/>
      </w:tblGrid>
      <w:tr w:rsidR="00841FD0" w:rsidRPr="00395D4D" w:rsidTr="004B63B8">
        <w:trPr>
          <w:trHeight w:val="952"/>
        </w:trPr>
        <w:tc>
          <w:tcPr>
            <w:tcW w:w="9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D4D" w:rsidRPr="00395D4D" w:rsidRDefault="00395D4D" w:rsidP="000959E6">
            <w:pPr>
              <w:spacing w:after="0" w:line="240" w:lineRule="auto"/>
              <w:jc w:val="center"/>
              <w:rPr>
                <w:rFonts w:ascii="Calibri" w:eastAsia="Times New Roman" w:hAnsi="Calibri" w:cs="Calibri"/>
                <w:b/>
                <w:color w:val="000000"/>
                <w:sz w:val="24"/>
                <w:szCs w:val="24"/>
              </w:rPr>
            </w:pPr>
            <w:r w:rsidRPr="00395D4D">
              <w:rPr>
                <w:rFonts w:ascii="Calibri" w:eastAsia="Times New Roman" w:hAnsi="Calibri" w:cs="Calibri"/>
                <w:b/>
                <w:color w:val="000000"/>
                <w:sz w:val="24"/>
                <w:szCs w:val="24"/>
              </w:rPr>
              <w:lastRenderedPageBreak/>
              <w:t>Task Name</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rsidR="00395D4D" w:rsidRDefault="00395D4D" w:rsidP="000959E6">
            <w:pPr>
              <w:spacing w:after="0" w:line="240" w:lineRule="auto"/>
              <w:jc w:val="center"/>
              <w:rPr>
                <w:rFonts w:ascii="Calibri" w:eastAsia="Times New Roman" w:hAnsi="Calibri" w:cs="Calibri"/>
                <w:b/>
                <w:color w:val="000000"/>
                <w:sz w:val="24"/>
                <w:szCs w:val="24"/>
              </w:rPr>
            </w:pPr>
            <w:r w:rsidRPr="00395D4D">
              <w:rPr>
                <w:rFonts w:ascii="Calibri" w:eastAsia="Times New Roman" w:hAnsi="Calibri" w:cs="Calibri"/>
                <w:b/>
                <w:color w:val="000000"/>
                <w:sz w:val="24"/>
                <w:szCs w:val="24"/>
              </w:rPr>
              <w:t>Start</w:t>
            </w:r>
          </w:p>
          <w:p w:rsidR="00212C6F" w:rsidRPr="00395D4D" w:rsidRDefault="00212C6F" w:rsidP="000959E6">
            <w:pPr>
              <w:spacing w:after="0" w:line="240" w:lineRule="auto"/>
              <w:jc w:val="center"/>
              <w:rPr>
                <w:rFonts w:ascii="Calibri" w:eastAsia="Times New Roman" w:hAnsi="Calibri" w:cs="Calibri"/>
                <w:b/>
                <w:color w:val="000000"/>
                <w:sz w:val="24"/>
                <w:szCs w:val="24"/>
              </w:rPr>
            </w:pPr>
            <w:r>
              <w:rPr>
                <w:rFonts w:ascii="Calibri" w:eastAsia="Times New Roman" w:hAnsi="Calibri" w:cs="Calibri"/>
                <w:b/>
                <w:color w:val="000000"/>
                <w:sz w:val="24"/>
                <w:szCs w:val="24"/>
              </w:rPr>
              <w:t>(dd/mm/yyyy)</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395D4D" w:rsidRDefault="00395D4D" w:rsidP="000959E6">
            <w:pPr>
              <w:spacing w:after="0" w:line="240" w:lineRule="auto"/>
              <w:jc w:val="center"/>
              <w:rPr>
                <w:rFonts w:ascii="Calibri" w:eastAsia="Times New Roman" w:hAnsi="Calibri" w:cs="Calibri"/>
                <w:b/>
                <w:color w:val="000000"/>
                <w:sz w:val="24"/>
                <w:szCs w:val="24"/>
              </w:rPr>
            </w:pPr>
            <w:r w:rsidRPr="00395D4D">
              <w:rPr>
                <w:rFonts w:ascii="Calibri" w:eastAsia="Times New Roman" w:hAnsi="Calibri" w:cs="Calibri"/>
                <w:b/>
                <w:color w:val="000000"/>
                <w:sz w:val="24"/>
                <w:szCs w:val="24"/>
              </w:rPr>
              <w:t>End</w:t>
            </w:r>
          </w:p>
          <w:p w:rsidR="00212C6F" w:rsidRPr="00395D4D" w:rsidRDefault="00212C6F" w:rsidP="000959E6">
            <w:pPr>
              <w:spacing w:after="0" w:line="240" w:lineRule="auto"/>
              <w:jc w:val="center"/>
              <w:rPr>
                <w:rFonts w:ascii="Calibri" w:eastAsia="Times New Roman" w:hAnsi="Calibri" w:cs="Calibri"/>
                <w:b/>
                <w:color w:val="000000"/>
                <w:sz w:val="24"/>
                <w:szCs w:val="24"/>
              </w:rPr>
            </w:pPr>
            <w:r>
              <w:rPr>
                <w:rFonts w:ascii="Calibri" w:eastAsia="Times New Roman" w:hAnsi="Calibri" w:cs="Calibri"/>
                <w:b/>
                <w:color w:val="000000"/>
                <w:sz w:val="24"/>
                <w:szCs w:val="24"/>
              </w:rPr>
              <w:t>(dd/mm/yyyy)</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395D4D" w:rsidRPr="00395D4D" w:rsidRDefault="00471F60" w:rsidP="000959E6">
            <w:pPr>
              <w:spacing w:after="0" w:line="240" w:lineRule="auto"/>
              <w:jc w:val="center"/>
              <w:rPr>
                <w:rFonts w:ascii="Calibri" w:eastAsia="Times New Roman" w:hAnsi="Calibri" w:cs="Calibri"/>
                <w:b/>
                <w:color w:val="000000"/>
                <w:sz w:val="24"/>
                <w:szCs w:val="24"/>
              </w:rPr>
            </w:pPr>
            <w:r>
              <w:rPr>
                <w:rFonts w:ascii="Calibri" w:eastAsia="Times New Roman" w:hAnsi="Calibri" w:cs="Calibri"/>
                <w:b/>
                <w:color w:val="000000"/>
                <w:sz w:val="24"/>
                <w:szCs w:val="24"/>
              </w:rPr>
              <w:t xml:space="preserve">Approximate </w:t>
            </w:r>
            <w:r w:rsidR="00395D4D" w:rsidRPr="00395D4D">
              <w:rPr>
                <w:rFonts w:ascii="Calibri" w:eastAsia="Times New Roman" w:hAnsi="Calibri" w:cs="Calibri"/>
                <w:b/>
                <w:color w:val="000000"/>
                <w:sz w:val="24"/>
                <w:szCs w:val="24"/>
              </w:rPr>
              <w:t>Duration (days)</w:t>
            </w:r>
          </w:p>
        </w:tc>
      </w:tr>
      <w:tr w:rsidR="00A727D2" w:rsidRPr="00395D4D" w:rsidTr="004B63B8">
        <w:trPr>
          <w:trHeight w:val="634"/>
        </w:trPr>
        <w:tc>
          <w:tcPr>
            <w:tcW w:w="938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1. Establish service contact point</w:t>
            </w:r>
          </w:p>
        </w:tc>
        <w:tc>
          <w:tcPr>
            <w:tcW w:w="1675" w:type="dxa"/>
            <w:tcBorders>
              <w:top w:val="nil"/>
              <w:left w:val="nil"/>
              <w:bottom w:val="single" w:sz="4" w:space="0" w:color="auto"/>
              <w:right w:val="single" w:sz="4" w:space="0" w:color="auto"/>
            </w:tcBorders>
            <w:shd w:val="clear" w:color="auto" w:fill="auto"/>
            <w:noWrap/>
            <w:vAlign w:val="center"/>
            <w:hideMark/>
          </w:tcPr>
          <w:p w:rsidR="00395D4D" w:rsidRPr="00395D4D" w:rsidRDefault="009A6082" w:rsidP="002A45A5">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13</w:t>
            </w:r>
            <w:r w:rsidR="002A45A5">
              <w:rPr>
                <w:rFonts w:ascii="Microsoft Sans Serif" w:eastAsia="Times New Roman" w:hAnsi="Microsoft Sans Serif" w:cs="Microsoft Sans Serif"/>
                <w:color w:val="000000"/>
                <w:sz w:val="24"/>
                <w:szCs w:val="24"/>
              </w:rPr>
              <w:t>/</w:t>
            </w:r>
            <w:r w:rsidR="00071001">
              <w:rPr>
                <w:rFonts w:ascii="Microsoft Sans Serif" w:eastAsia="Times New Roman" w:hAnsi="Microsoft Sans Serif" w:cs="Microsoft Sans Serif"/>
                <w:color w:val="000000"/>
                <w:sz w:val="24"/>
                <w:szCs w:val="24"/>
              </w:rPr>
              <w:t>0</w:t>
            </w:r>
            <w:r w:rsidR="002A45A5">
              <w:rPr>
                <w:rFonts w:ascii="Microsoft Sans Serif" w:eastAsia="Times New Roman" w:hAnsi="Microsoft Sans Serif" w:cs="Microsoft Sans Serif"/>
                <w:color w:val="000000"/>
                <w:sz w:val="24"/>
                <w:szCs w:val="24"/>
              </w:rPr>
              <w:t>1/2020</w:t>
            </w:r>
          </w:p>
        </w:tc>
        <w:tc>
          <w:tcPr>
            <w:tcW w:w="1710" w:type="dxa"/>
            <w:tcBorders>
              <w:top w:val="nil"/>
              <w:left w:val="nil"/>
              <w:bottom w:val="single" w:sz="4" w:space="0" w:color="auto"/>
              <w:right w:val="single" w:sz="4" w:space="0" w:color="auto"/>
            </w:tcBorders>
            <w:shd w:val="clear" w:color="auto" w:fill="auto"/>
            <w:noWrap/>
            <w:vAlign w:val="center"/>
            <w:hideMark/>
          </w:tcPr>
          <w:p w:rsidR="00395D4D" w:rsidRDefault="002A45A5"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12/</w:t>
            </w:r>
            <w:r w:rsidR="00071001">
              <w:rPr>
                <w:rFonts w:ascii="Microsoft Sans Serif" w:eastAsia="Times New Roman" w:hAnsi="Microsoft Sans Serif" w:cs="Microsoft Sans Serif"/>
                <w:color w:val="000000"/>
                <w:sz w:val="24"/>
                <w:szCs w:val="24"/>
              </w:rPr>
              <w:t>0</w:t>
            </w:r>
            <w:r>
              <w:rPr>
                <w:rFonts w:ascii="Microsoft Sans Serif" w:eastAsia="Times New Roman" w:hAnsi="Microsoft Sans Serif" w:cs="Microsoft Sans Serif"/>
                <w:color w:val="000000"/>
                <w:sz w:val="24"/>
                <w:szCs w:val="24"/>
              </w:rPr>
              <w:t>3/2020</w:t>
            </w:r>
          </w:p>
          <w:p w:rsidR="002A45A5" w:rsidRPr="00395D4D" w:rsidRDefault="002A45A5" w:rsidP="00724903">
            <w:pPr>
              <w:spacing w:after="0" w:line="240" w:lineRule="auto"/>
              <w:jc w:val="center"/>
              <w:rPr>
                <w:rFonts w:ascii="Microsoft Sans Serif" w:eastAsia="Times New Roman" w:hAnsi="Microsoft Sans Serif" w:cs="Microsoft Sans Serif"/>
                <w:color w:val="000000"/>
                <w:sz w:val="24"/>
                <w:szCs w:val="24"/>
              </w:rPr>
            </w:pPr>
          </w:p>
        </w:tc>
        <w:tc>
          <w:tcPr>
            <w:tcW w:w="1651" w:type="dxa"/>
            <w:tcBorders>
              <w:top w:val="nil"/>
              <w:left w:val="nil"/>
              <w:bottom w:val="single" w:sz="4" w:space="0" w:color="auto"/>
              <w:right w:val="single" w:sz="4" w:space="0" w:color="auto"/>
            </w:tcBorders>
            <w:shd w:val="clear" w:color="auto" w:fill="auto"/>
            <w:vAlign w:val="center"/>
            <w:hideMark/>
          </w:tcPr>
          <w:p w:rsidR="00395D4D" w:rsidRPr="002A45A5" w:rsidRDefault="00471F60"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69</w:t>
            </w:r>
          </w:p>
        </w:tc>
      </w:tr>
      <w:tr w:rsidR="00841FD0" w:rsidRPr="00395D4D" w:rsidTr="004B63B8">
        <w:trPr>
          <w:trHeight w:val="476"/>
        </w:trPr>
        <w:tc>
          <w:tcPr>
            <w:tcW w:w="9383" w:type="dxa"/>
            <w:tcBorders>
              <w:top w:val="nil"/>
              <w:left w:val="single" w:sz="4" w:space="0" w:color="auto"/>
              <w:bottom w:val="single" w:sz="4" w:space="0" w:color="auto"/>
              <w:right w:val="single" w:sz="4" w:space="0" w:color="auto"/>
            </w:tcBorders>
            <w:shd w:val="clear" w:color="auto" w:fill="D9E2F3" w:themeFill="accent5" w:themeFillTint="33"/>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2. Define basic architecture of PSC</w:t>
            </w:r>
          </w:p>
        </w:tc>
        <w:tc>
          <w:tcPr>
            <w:tcW w:w="1675" w:type="dxa"/>
            <w:tcBorders>
              <w:top w:val="nil"/>
              <w:left w:val="nil"/>
              <w:bottom w:val="single" w:sz="4" w:space="0" w:color="auto"/>
              <w:right w:val="single" w:sz="4" w:space="0" w:color="auto"/>
            </w:tcBorders>
            <w:shd w:val="clear" w:color="auto" w:fill="auto"/>
            <w:noWrap/>
            <w:vAlign w:val="center"/>
            <w:hideMark/>
          </w:tcPr>
          <w:p w:rsidR="00395D4D" w:rsidRPr="00395D4D" w:rsidRDefault="009A6082"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13</w:t>
            </w:r>
            <w:r w:rsidR="002A45A5">
              <w:rPr>
                <w:rFonts w:ascii="Microsoft Sans Serif" w:eastAsia="Times New Roman" w:hAnsi="Microsoft Sans Serif" w:cs="Microsoft Sans Serif"/>
                <w:color w:val="000000"/>
                <w:sz w:val="24"/>
                <w:szCs w:val="24"/>
              </w:rPr>
              <w:t>/</w:t>
            </w:r>
            <w:r w:rsidR="00071001">
              <w:rPr>
                <w:rFonts w:ascii="Microsoft Sans Serif" w:eastAsia="Times New Roman" w:hAnsi="Microsoft Sans Serif" w:cs="Microsoft Sans Serif"/>
                <w:color w:val="000000"/>
                <w:sz w:val="24"/>
                <w:szCs w:val="24"/>
              </w:rPr>
              <w:t>0</w:t>
            </w:r>
            <w:r w:rsidR="002A45A5">
              <w:rPr>
                <w:rFonts w:ascii="Microsoft Sans Serif" w:eastAsia="Times New Roman" w:hAnsi="Microsoft Sans Serif" w:cs="Microsoft Sans Serif"/>
                <w:color w:val="000000"/>
                <w:sz w:val="24"/>
                <w:szCs w:val="24"/>
              </w:rPr>
              <w:t>1/2020</w:t>
            </w:r>
          </w:p>
        </w:tc>
        <w:tc>
          <w:tcPr>
            <w:tcW w:w="1710" w:type="dxa"/>
            <w:tcBorders>
              <w:top w:val="nil"/>
              <w:left w:val="nil"/>
              <w:bottom w:val="single" w:sz="4" w:space="0" w:color="auto"/>
              <w:right w:val="single" w:sz="4" w:space="0" w:color="auto"/>
            </w:tcBorders>
            <w:shd w:val="clear" w:color="auto" w:fill="auto"/>
            <w:noWrap/>
            <w:vAlign w:val="center"/>
            <w:hideMark/>
          </w:tcPr>
          <w:p w:rsidR="00395D4D" w:rsidRPr="00395D4D" w:rsidRDefault="002A45A5"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12/</w:t>
            </w:r>
            <w:r w:rsidR="00071001">
              <w:rPr>
                <w:rFonts w:ascii="Microsoft Sans Serif" w:eastAsia="Times New Roman" w:hAnsi="Microsoft Sans Serif" w:cs="Microsoft Sans Serif"/>
                <w:color w:val="000000"/>
                <w:sz w:val="24"/>
                <w:szCs w:val="24"/>
              </w:rPr>
              <w:t>0</w:t>
            </w:r>
            <w:r>
              <w:rPr>
                <w:rFonts w:ascii="Microsoft Sans Serif" w:eastAsia="Times New Roman" w:hAnsi="Microsoft Sans Serif" w:cs="Microsoft Sans Serif"/>
                <w:color w:val="000000"/>
                <w:sz w:val="24"/>
                <w:szCs w:val="24"/>
              </w:rPr>
              <w:t>3/2020</w:t>
            </w:r>
          </w:p>
        </w:tc>
        <w:tc>
          <w:tcPr>
            <w:tcW w:w="1651" w:type="dxa"/>
            <w:tcBorders>
              <w:top w:val="nil"/>
              <w:left w:val="nil"/>
              <w:bottom w:val="single" w:sz="4" w:space="0" w:color="auto"/>
              <w:right w:val="single" w:sz="4" w:space="0" w:color="auto"/>
            </w:tcBorders>
            <w:shd w:val="clear" w:color="auto" w:fill="auto"/>
            <w:vAlign w:val="center"/>
            <w:hideMark/>
          </w:tcPr>
          <w:p w:rsidR="00395D4D" w:rsidRPr="002A45A5" w:rsidRDefault="00471F60"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69</w:t>
            </w:r>
          </w:p>
        </w:tc>
      </w:tr>
      <w:tr w:rsidR="00841FD0" w:rsidRPr="00395D4D" w:rsidTr="004B63B8">
        <w:trPr>
          <w:trHeight w:val="952"/>
        </w:trPr>
        <w:tc>
          <w:tcPr>
            <w:tcW w:w="9383"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3. Identify all the entities that are going to participate on PSC, central and local level</w:t>
            </w:r>
          </w:p>
        </w:tc>
        <w:tc>
          <w:tcPr>
            <w:tcW w:w="1675" w:type="dxa"/>
            <w:tcBorders>
              <w:top w:val="nil"/>
              <w:left w:val="nil"/>
              <w:bottom w:val="single" w:sz="4" w:space="0" w:color="auto"/>
              <w:right w:val="single" w:sz="4" w:space="0" w:color="auto"/>
            </w:tcBorders>
            <w:shd w:val="clear" w:color="auto" w:fill="auto"/>
            <w:vAlign w:val="center"/>
            <w:hideMark/>
          </w:tcPr>
          <w:p w:rsidR="00395D4D" w:rsidRPr="00395D4D" w:rsidRDefault="00071001"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15</w:t>
            </w:r>
            <w:r w:rsidR="002A45A5">
              <w:rPr>
                <w:rFonts w:ascii="Microsoft Sans Serif" w:eastAsia="Times New Roman" w:hAnsi="Microsoft Sans Serif" w:cs="Microsoft Sans Serif"/>
                <w:color w:val="000000"/>
                <w:sz w:val="24"/>
                <w:szCs w:val="24"/>
              </w:rPr>
              <w:t>/</w:t>
            </w:r>
            <w:r>
              <w:rPr>
                <w:rFonts w:ascii="Microsoft Sans Serif" w:eastAsia="Times New Roman" w:hAnsi="Microsoft Sans Serif" w:cs="Microsoft Sans Serif"/>
                <w:color w:val="000000"/>
                <w:sz w:val="24"/>
                <w:szCs w:val="24"/>
              </w:rPr>
              <w:t>04/2020</w:t>
            </w:r>
          </w:p>
        </w:tc>
        <w:tc>
          <w:tcPr>
            <w:tcW w:w="1710" w:type="dxa"/>
            <w:tcBorders>
              <w:top w:val="nil"/>
              <w:left w:val="nil"/>
              <w:bottom w:val="single" w:sz="4" w:space="0" w:color="auto"/>
              <w:right w:val="single" w:sz="4" w:space="0" w:color="auto"/>
            </w:tcBorders>
            <w:shd w:val="clear" w:color="auto" w:fill="auto"/>
            <w:vAlign w:val="center"/>
            <w:hideMark/>
          </w:tcPr>
          <w:p w:rsidR="00395D4D" w:rsidRPr="00395D4D" w:rsidRDefault="00630803" w:rsidP="002A45A5">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27</w:t>
            </w:r>
            <w:r w:rsidR="002A45A5">
              <w:rPr>
                <w:rFonts w:ascii="Microsoft Sans Serif" w:eastAsia="Times New Roman" w:hAnsi="Microsoft Sans Serif" w:cs="Microsoft Sans Serif"/>
                <w:color w:val="000000"/>
                <w:sz w:val="24"/>
                <w:szCs w:val="24"/>
              </w:rPr>
              <w:t>/11/2020</w:t>
            </w:r>
          </w:p>
        </w:tc>
        <w:tc>
          <w:tcPr>
            <w:tcW w:w="1651" w:type="dxa"/>
            <w:tcBorders>
              <w:top w:val="nil"/>
              <w:left w:val="nil"/>
              <w:bottom w:val="single" w:sz="4" w:space="0" w:color="auto"/>
              <w:right w:val="single" w:sz="4" w:space="0" w:color="auto"/>
            </w:tcBorders>
            <w:shd w:val="clear" w:color="auto" w:fill="auto"/>
            <w:vAlign w:val="center"/>
            <w:hideMark/>
          </w:tcPr>
          <w:p w:rsidR="00395D4D" w:rsidRPr="002A45A5" w:rsidRDefault="00471F60"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170</w:t>
            </w:r>
          </w:p>
        </w:tc>
      </w:tr>
      <w:tr w:rsidR="00841FD0" w:rsidRPr="00395D4D" w:rsidTr="004B63B8">
        <w:trPr>
          <w:trHeight w:val="476"/>
        </w:trPr>
        <w:tc>
          <w:tcPr>
            <w:tcW w:w="9383" w:type="dxa"/>
            <w:tcBorders>
              <w:top w:val="nil"/>
              <w:left w:val="single" w:sz="4" w:space="0" w:color="auto"/>
              <w:bottom w:val="single" w:sz="4" w:space="0" w:color="auto"/>
              <w:right w:val="single" w:sz="4" w:space="0" w:color="auto"/>
            </w:tcBorders>
            <w:shd w:val="clear" w:color="auto" w:fill="EDEDED" w:themeFill="accent3" w:themeFillTint="33"/>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4. IT capabilities and gap analysis for each entity involved in PSC</w:t>
            </w:r>
          </w:p>
        </w:tc>
        <w:tc>
          <w:tcPr>
            <w:tcW w:w="1675" w:type="dxa"/>
            <w:tcBorders>
              <w:top w:val="nil"/>
              <w:left w:val="nil"/>
              <w:bottom w:val="single" w:sz="4" w:space="0" w:color="auto"/>
              <w:right w:val="single" w:sz="4" w:space="0" w:color="auto"/>
            </w:tcBorders>
            <w:shd w:val="clear" w:color="auto" w:fill="auto"/>
            <w:vAlign w:val="center"/>
            <w:hideMark/>
          </w:tcPr>
          <w:p w:rsidR="00395D4D" w:rsidRPr="00395D4D" w:rsidRDefault="00CE6974"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w:t>
            </w:r>
            <w:r w:rsidR="00071001">
              <w:rPr>
                <w:rFonts w:ascii="Microsoft Sans Serif" w:eastAsia="Times New Roman" w:hAnsi="Microsoft Sans Serif" w:cs="Microsoft Sans Serif"/>
                <w:color w:val="000000"/>
                <w:sz w:val="24"/>
                <w:szCs w:val="24"/>
              </w:rPr>
              <w:t>1/12/2020</w:t>
            </w:r>
          </w:p>
        </w:tc>
        <w:tc>
          <w:tcPr>
            <w:tcW w:w="1710" w:type="dxa"/>
            <w:tcBorders>
              <w:top w:val="nil"/>
              <w:left w:val="nil"/>
              <w:bottom w:val="single" w:sz="4" w:space="0" w:color="auto"/>
              <w:right w:val="single" w:sz="4" w:space="0" w:color="auto"/>
            </w:tcBorders>
            <w:shd w:val="clear" w:color="auto" w:fill="auto"/>
            <w:vAlign w:val="center"/>
            <w:hideMark/>
          </w:tcPr>
          <w:p w:rsidR="00395D4D" w:rsidRPr="00395D4D" w:rsidRDefault="002A45A5"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w:t>
            </w:r>
            <w:r w:rsidR="00630803">
              <w:rPr>
                <w:rFonts w:ascii="Microsoft Sans Serif" w:eastAsia="Times New Roman" w:hAnsi="Microsoft Sans Serif" w:cs="Microsoft Sans Serif"/>
                <w:color w:val="000000"/>
                <w:sz w:val="24"/>
                <w:szCs w:val="24"/>
              </w:rPr>
              <w:t>1</w:t>
            </w:r>
            <w:r>
              <w:rPr>
                <w:rFonts w:ascii="Microsoft Sans Serif" w:eastAsia="Times New Roman" w:hAnsi="Microsoft Sans Serif" w:cs="Microsoft Sans Serif"/>
                <w:color w:val="000000"/>
                <w:sz w:val="24"/>
                <w:szCs w:val="24"/>
              </w:rPr>
              <w:t>/</w:t>
            </w:r>
            <w:r w:rsidR="00071001">
              <w:rPr>
                <w:rFonts w:ascii="Microsoft Sans Serif" w:eastAsia="Times New Roman" w:hAnsi="Microsoft Sans Serif" w:cs="Microsoft Sans Serif"/>
                <w:color w:val="000000"/>
                <w:sz w:val="24"/>
                <w:szCs w:val="24"/>
              </w:rPr>
              <w:t>0</w:t>
            </w:r>
            <w:r>
              <w:rPr>
                <w:rFonts w:ascii="Microsoft Sans Serif" w:eastAsia="Times New Roman" w:hAnsi="Microsoft Sans Serif" w:cs="Microsoft Sans Serif"/>
                <w:color w:val="000000"/>
                <w:sz w:val="24"/>
                <w:szCs w:val="24"/>
              </w:rPr>
              <w:t>1/2021</w:t>
            </w:r>
          </w:p>
        </w:tc>
        <w:tc>
          <w:tcPr>
            <w:tcW w:w="1651" w:type="dxa"/>
            <w:tcBorders>
              <w:top w:val="nil"/>
              <w:left w:val="nil"/>
              <w:bottom w:val="single" w:sz="4" w:space="0" w:color="auto"/>
              <w:right w:val="single" w:sz="4" w:space="0" w:color="auto"/>
            </w:tcBorders>
            <w:shd w:val="clear" w:color="auto" w:fill="auto"/>
            <w:vAlign w:val="center"/>
            <w:hideMark/>
          </w:tcPr>
          <w:p w:rsidR="00395D4D" w:rsidRPr="002A45A5" w:rsidRDefault="00471F60"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30</w:t>
            </w:r>
          </w:p>
        </w:tc>
      </w:tr>
      <w:tr w:rsidR="00841FD0" w:rsidRPr="00395D4D" w:rsidTr="004B63B8">
        <w:trPr>
          <w:trHeight w:val="476"/>
        </w:trPr>
        <w:tc>
          <w:tcPr>
            <w:tcW w:w="9383" w:type="dxa"/>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5. Define what to be done on each entity in order to be ready to be member of PSC</w:t>
            </w:r>
          </w:p>
        </w:tc>
        <w:tc>
          <w:tcPr>
            <w:tcW w:w="1675" w:type="dxa"/>
            <w:tcBorders>
              <w:top w:val="nil"/>
              <w:left w:val="nil"/>
              <w:bottom w:val="single" w:sz="4" w:space="0" w:color="auto"/>
              <w:right w:val="single" w:sz="4" w:space="0" w:color="auto"/>
            </w:tcBorders>
            <w:shd w:val="clear" w:color="auto" w:fill="auto"/>
            <w:noWrap/>
            <w:vAlign w:val="center"/>
            <w:hideMark/>
          </w:tcPr>
          <w:p w:rsidR="00395D4D" w:rsidRPr="00395D4D" w:rsidRDefault="00395D4D" w:rsidP="00724903">
            <w:pPr>
              <w:spacing w:after="0" w:line="240" w:lineRule="auto"/>
              <w:jc w:val="center"/>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1</w:t>
            </w:r>
            <w:r w:rsidR="00071001">
              <w:rPr>
                <w:rFonts w:ascii="Microsoft Sans Serif" w:eastAsia="Times New Roman" w:hAnsi="Microsoft Sans Serif" w:cs="Microsoft Sans Serif"/>
                <w:color w:val="000000"/>
                <w:sz w:val="24"/>
                <w:szCs w:val="24"/>
              </w:rPr>
              <w:t>1/02/2021</w:t>
            </w:r>
          </w:p>
        </w:tc>
        <w:tc>
          <w:tcPr>
            <w:tcW w:w="1710" w:type="dxa"/>
            <w:tcBorders>
              <w:top w:val="nil"/>
              <w:left w:val="nil"/>
              <w:bottom w:val="single" w:sz="4" w:space="0" w:color="auto"/>
              <w:right w:val="single" w:sz="4" w:space="0" w:color="auto"/>
            </w:tcBorders>
            <w:shd w:val="clear" w:color="auto" w:fill="auto"/>
            <w:noWrap/>
            <w:vAlign w:val="center"/>
            <w:hideMark/>
          </w:tcPr>
          <w:p w:rsidR="00395D4D" w:rsidRPr="00395D4D" w:rsidRDefault="00471F60"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w:t>
            </w:r>
            <w:r w:rsidR="002A45A5">
              <w:rPr>
                <w:rFonts w:ascii="Microsoft Sans Serif" w:eastAsia="Times New Roman" w:hAnsi="Microsoft Sans Serif" w:cs="Microsoft Sans Serif"/>
                <w:color w:val="000000"/>
                <w:sz w:val="24"/>
                <w:szCs w:val="24"/>
              </w:rPr>
              <w:t>1/07/2021</w:t>
            </w:r>
          </w:p>
        </w:tc>
        <w:tc>
          <w:tcPr>
            <w:tcW w:w="1651" w:type="dxa"/>
            <w:tcBorders>
              <w:top w:val="nil"/>
              <w:left w:val="nil"/>
              <w:bottom w:val="single" w:sz="4" w:space="0" w:color="auto"/>
              <w:right w:val="single" w:sz="4" w:space="0" w:color="auto"/>
            </w:tcBorders>
            <w:shd w:val="clear" w:color="auto" w:fill="auto"/>
            <w:noWrap/>
            <w:vAlign w:val="center"/>
            <w:hideMark/>
          </w:tcPr>
          <w:p w:rsidR="00395D4D" w:rsidRPr="002A45A5" w:rsidRDefault="00CE6974"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120</w:t>
            </w:r>
          </w:p>
        </w:tc>
      </w:tr>
      <w:tr w:rsidR="00841FD0" w:rsidRPr="00395D4D" w:rsidTr="004B63B8">
        <w:trPr>
          <w:trHeight w:val="476"/>
        </w:trPr>
        <w:tc>
          <w:tcPr>
            <w:tcW w:w="9383" w:type="dxa"/>
            <w:tcBorders>
              <w:top w:val="nil"/>
              <w:left w:val="single" w:sz="4" w:space="0" w:color="auto"/>
              <w:bottom w:val="single" w:sz="4" w:space="0" w:color="auto"/>
              <w:right w:val="single" w:sz="4" w:space="0" w:color="auto"/>
            </w:tcBorders>
            <w:shd w:val="clear" w:color="auto" w:fill="FFC000"/>
            <w:noWrap/>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6. Implementation of the work-program in each entity as appropriate</w:t>
            </w:r>
          </w:p>
        </w:tc>
        <w:tc>
          <w:tcPr>
            <w:tcW w:w="1675" w:type="dxa"/>
            <w:tcBorders>
              <w:top w:val="nil"/>
              <w:left w:val="nil"/>
              <w:bottom w:val="single" w:sz="4" w:space="0" w:color="auto"/>
              <w:right w:val="single" w:sz="4" w:space="0" w:color="auto"/>
            </w:tcBorders>
            <w:shd w:val="clear" w:color="auto" w:fill="auto"/>
            <w:noWrap/>
            <w:vAlign w:val="center"/>
            <w:hideMark/>
          </w:tcPr>
          <w:p w:rsidR="00395D4D" w:rsidRPr="00395D4D" w:rsidRDefault="009A6082"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02</w:t>
            </w:r>
            <w:r w:rsidR="00071001">
              <w:rPr>
                <w:rFonts w:ascii="Microsoft Sans Serif" w:eastAsia="Times New Roman" w:hAnsi="Microsoft Sans Serif" w:cs="Microsoft Sans Serif"/>
                <w:color w:val="000000"/>
                <w:sz w:val="24"/>
                <w:szCs w:val="24"/>
              </w:rPr>
              <w:t>/08/2021</w:t>
            </w:r>
          </w:p>
        </w:tc>
        <w:tc>
          <w:tcPr>
            <w:tcW w:w="1710" w:type="dxa"/>
            <w:tcBorders>
              <w:top w:val="nil"/>
              <w:left w:val="nil"/>
              <w:bottom w:val="single" w:sz="4" w:space="0" w:color="auto"/>
              <w:right w:val="single" w:sz="4" w:space="0" w:color="auto"/>
            </w:tcBorders>
            <w:shd w:val="clear" w:color="auto" w:fill="auto"/>
            <w:noWrap/>
            <w:vAlign w:val="center"/>
            <w:hideMark/>
          </w:tcPr>
          <w:p w:rsidR="00395D4D" w:rsidRPr="00395D4D" w:rsidRDefault="00471F60"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w:t>
            </w:r>
            <w:r w:rsidR="002A45A5">
              <w:rPr>
                <w:rFonts w:ascii="Microsoft Sans Serif" w:eastAsia="Times New Roman" w:hAnsi="Microsoft Sans Serif" w:cs="Microsoft Sans Serif"/>
                <w:color w:val="000000"/>
                <w:sz w:val="24"/>
                <w:szCs w:val="24"/>
              </w:rPr>
              <w:t>1/09/2021</w:t>
            </w:r>
          </w:p>
        </w:tc>
        <w:tc>
          <w:tcPr>
            <w:tcW w:w="1651" w:type="dxa"/>
            <w:tcBorders>
              <w:top w:val="nil"/>
              <w:left w:val="nil"/>
              <w:bottom w:val="single" w:sz="4" w:space="0" w:color="auto"/>
              <w:right w:val="single" w:sz="4" w:space="0" w:color="auto"/>
            </w:tcBorders>
            <w:shd w:val="clear" w:color="auto" w:fill="auto"/>
            <w:noWrap/>
            <w:vAlign w:val="center"/>
            <w:hideMark/>
          </w:tcPr>
          <w:p w:rsidR="00395D4D" w:rsidRPr="002A45A5" w:rsidRDefault="00CE6974"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45</w:t>
            </w:r>
          </w:p>
        </w:tc>
      </w:tr>
      <w:tr w:rsidR="00841FD0" w:rsidRPr="00395D4D" w:rsidTr="004B63B8">
        <w:trPr>
          <w:trHeight w:val="589"/>
        </w:trPr>
        <w:tc>
          <w:tcPr>
            <w:tcW w:w="9383" w:type="dxa"/>
            <w:tcBorders>
              <w:top w:val="nil"/>
              <w:left w:val="single" w:sz="4" w:space="0" w:color="auto"/>
              <w:bottom w:val="single" w:sz="4" w:space="0" w:color="auto"/>
              <w:right w:val="single" w:sz="4" w:space="0" w:color="auto"/>
            </w:tcBorders>
            <w:shd w:val="clear" w:color="auto" w:fill="00B0F0"/>
            <w:noWrap/>
            <w:vAlign w:val="center"/>
            <w:hideMark/>
          </w:tcPr>
          <w:p w:rsidR="00395D4D" w:rsidRPr="00395D4D" w:rsidRDefault="00395D4D" w:rsidP="00596DE0">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7. Define the software on PSC, software specialist support (tools available at EU level (open source))</w:t>
            </w:r>
          </w:p>
        </w:tc>
        <w:tc>
          <w:tcPr>
            <w:tcW w:w="1675" w:type="dxa"/>
            <w:tcBorders>
              <w:top w:val="nil"/>
              <w:left w:val="nil"/>
              <w:bottom w:val="single" w:sz="4" w:space="0" w:color="auto"/>
              <w:right w:val="single" w:sz="4" w:space="0" w:color="auto"/>
            </w:tcBorders>
            <w:shd w:val="clear" w:color="auto" w:fill="auto"/>
            <w:noWrap/>
            <w:vAlign w:val="center"/>
            <w:hideMark/>
          </w:tcPr>
          <w:p w:rsidR="00395D4D" w:rsidRPr="00395D4D" w:rsidRDefault="00071001"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01/10</w:t>
            </w:r>
            <w:r w:rsidR="00395D4D" w:rsidRPr="00395D4D">
              <w:rPr>
                <w:rFonts w:ascii="Microsoft Sans Serif" w:eastAsia="Times New Roman" w:hAnsi="Microsoft Sans Serif" w:cs="Microsoft Sans Serif"/>
                <w:color w:val="000000"/>
                <w:sz w:val="24"/>
                <w:szCs w:val="24"/>
              </w:rPr>
              <w:t>/2021</w:t>
            </w:r>
          </w:p>
        </w:tc>
        <w:tc>
          <w:tcPr>
            <w:tcW w:w="1710" w:type="dxa"/>
            <w:tcBorders>
              <w:top w:val="nil"/>
              <w:left w:val="nil"/>
              <w:bottom w:val="single" w:sz="4" w:space="0" w:color="auto"/>
              <w:right w:val="single" w:sz="4" w:space="0" w:color="auto"/>
            </w:tcBorders>
            <w:shd w:val="clear" w:color="auto" w:fill="auto"/>
            <w:noWrap/>
            <w:vAlign w:val="center"/>
            <w:hideMark/>
          </w:tcPr>
          <w:p w:rsidR="00395D4D" w:rsidRPr="00395D4D" w:rsidRDefault="002A45A5"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1</w:t>
            </w:r>
            <w:r w:rsidR="00471F60">
              <w:rPr>
                <w:rFonts w:ascii="Microsoft Sans Serif" w:eastAsia="Times New Roman" w:hAnsi="Microsoft Sans Serif" w:cs="Microsoft Sans Serif"/>
                <w:color w:val="000000"/>
                <w:sz w:val="24"/>
                <w:szCs w:val="24"/>
              </w:rPr>
              <w:t>7</w:t>
            </w:r>
            <w:r>
              <w:rPr>
                <w:rFonts w:ascii="Microsoft Sans Serif" w:eastAsia="Times New Roman" w:hAnsi="Microsoft Sans Serif" w:cs="Microsoft Sans Serif"/>
                <w:color w:val="000000"/>
                <w:sz w:val="24"/>
                <w:szCs w:val="24"/>
              </w:rPr>
              <w:t>/01/2022</w:t>
            </w:r>
          </w:p>
        </w:tc>
        <w:tc>
          <w:tcPr>
            <w:tcW w:w="1651" w:type="dxa"/>
            <w:tcBorders>
              <w:top w:val="nil"/>
              <w:left w:val="nil"/>
              <w:bottom w:val="single" w:sz="4" w:space="0" w:color="auto"/>
              <w:right w:val="single" w:sz="4" w:space="0" w:color="auto"/>
            </w:tcBorders>
            <w:shd w:val="clear" w:color="auto" w:fill="auto"/>
            <w:noWrap/>
            <w:vAlign w:val="center"/>
            <w:hideMark/>
          </w:tcPr>
          <w:p w:rsidR="00395D4D" w:rsidRPr="002A45A5" w:rsidRDefault="00CE6974"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79</w:t>
            </w:r>
          </w:p>
        </w:tc>
      </w:tr>
      <w:tr w:rsidR="00841FD0" w:rsidRPr="00395D4D" w:rsidTr="004B63B8">
        <w:trPr>
          <w:trHeight w:val="476"/>
        </w:trPr>
        <w:tc>
          <w:tcPr>
            <w:tcW w:w="9383" w:type="dxa"/>
            <w:tcBorders>
              <w:top w:val="nil"/>
              <w:left w:val="single" w:sz="4" w:space="0" w:color="auto"/>
              <w:bottom w:val="single" w:sz="4" w:space="0" w:color="auto"/>
              <w:right w:val="single" w:sz="4" w:space="0" w:color="auto"/>
            </w:tcBorders>
            <w:shd w:val="clear" w:color="auto" w:fill="FFCCFF"/>
            <w:noWrap/>
            <w:vAlign w:val="center"/>
            <w:hideMark/>
          </w:tcPr>
          <w:p w:rsidR="00395D4D" w:rsidRPr="00395D4D" w:rsidRDefault="00395D4D" w:rsidP="009A318E">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8. Esta</w:t>
            </w:r>
            <w:r w:rsidR="009A318E">
              <w:rPr>
                <w:rFonts w:ascii="Microsoft Sans Serif" w:eastAsia="Times New Roman" w:hAnsi="Microsoft Sans Serif" w:cs="Microsoft Sans Serif"/>
                <w:color w:val="000000"/>
                <w:sz w:val="24"/>
                <w:szCs w:val="24"/>
              </w:rPr>
              <w:t xml:space="preserve">blishment of PSC system. Train public officials </w:t>
            </w:r>
            <w:r w:rsidRPr="00395D4D">
              <w:rPr>
                <w:rFonts w:ascii="Microsoft Sans Serif" w:eastAsia="Times New Roman" w:hAnsi="Microsoft Sans Serif" w:cs="Microsoft Sans Serif"/>
                <w:color w:val="000000"/>
                <w:sz w:val="24"/>
                <w:szCs w:val="24"/>
              </w:rPr>
              <w:t xml:space="preserve"> how to use the system in each ministry and entity</w:t>
            </w:r>
          </w:p>
        </w:tc>
        <w:tc>
          <w:tcPr>
            <w:tcW w:w="1675" w:type="dxa"/>
            <w:tcBorders>
              <w:top w:val="nil"/>
              <w:left w:val="nil"/>
              <w:bottom w:val="single" w:sz="4" w:space="0" w:color="auto"/>
              <w:right w:val="single" w:sz="4" w:space="0" w:color="auto"/>
            </w:tcBorders>
            <w:shd w:val="clear" w:color="auto" w:fill="auto"/>
            <w:noWrap/>
            <w:vAlign w:val="center"/>
            <w:hideMark/>
          </w:tcPr>
          <w:p w:rsidR="00395D4D" w:rsidRPr="00395D4D" w:rsidRDefault="00071001"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01/02/2022</w:t>
            </w:r>
          </w:p>
        </w:tc>
        <w:tc>
          <w:tcPr>
            <w:tcW w:w="1710" w:type="dxa"/>
            <w:tcBorders>
              <w:top w:val="nil"/>
              <w:left w:val="nil"/>
              <w:bottom w:val="single" w:sz="4" w:space="0" w:color="auto"/>
              <w:right w:val="single" w:sz="4" w:space="0" w:color="auto"/>
            </w:tcBorders>
            <w:shd w:val="clear" w:color="auto" w:fill="auto"/>
            <w:noWrap/>
            <w:vAlign w:val="center"/>
            <w:hideMark/>
          </w:tcPr>
          <w:p w:rsidR="00395D4D" w:rsidRPr="00395D4D" w:rsidRDefault="004B63B8" w:rsidP="00724903">
            <w:pPr>
              <w:spacing w:after="0" w:line="240" w:lineRule="auto"/>
              <w:jc w:val="center"/>
              <w:rPr>
                <w:rFonts w:ascii="Microsoft Sans Serif" w:eastAsia="Times New Roman" w:hAnsi="Microsoft Sans Serif" w:cs="Microsoft Sans Serif"/>
                <w:color w:val="000000"/>
                <w:sz w:val="24"/>
                <w:szCs w:val="24"/>
              </w:rPr>
            </w:pPr>
            <w:r>
              <w:rPr>
                <w:rFonts w:ascii="Microsoft Sans Serif" w:eastAsia="Times New Roman" w:hAnsi="Microsoft Sans Serif" w:cs="Microsoft Sans Serif"/>
                <w:color w:val="000000"/>
                <w:sz w:val="24"/>
                <w:szCs w:val="24"/>
              </w:rPr>
              <w:t>01/06</w:t>
            </w:r>
            <w:r w:rsidR="002A45A5">
              <w:rPr>
                <w:rFonts w:ascii="Microsoft Sans Serif" w:eastAsia="Times New Roman" w:hAnsi="Microsoft Sans Serif" w:cs="Microsoft Sans Serif"/>
                <w:color w:val="000000"/>
                <w:sz w:val="24"/>
                <w:szCs w:val="24"/>
              </w:rPr>
              <w:t>/2022</w:t>
            </w:r>
          </w:p>
        </w:tc>
        <w:tc>
          <w:tcPr>
            <w:tcW w:w="1651" w:type="dxa"/>
            <w:tcBorders>
              <w:top w:val="nil"/>
              <w:left w:val="nil"/>
              <w:bottom w:val="single" w:sz="4" w:space="0" w:color="auto"/>
              <w:right w:val="single" w:sz="4" w:space="0" w:color="auto"/>
            </w:tcBorders>
            <w:shd w:val="clear" w:color="auto" w:fill="auto"/>
            <w:noWrap/>
            <w:vAlign w:val="center"/>
            <w:hideMark/>
          </w:tcPr>
          <w:p w:rsidR="00395D4D" w:rsidRPr="002A45A5" w:rsidRDefault="004B63B8" w:rsidP="00724903">
            <w:pPr>
              <w:spacing w:after="0" w:line="240" w:lineRule="auto"/>
              <w:jc w:val="center"/>
              <w:rPr>
                <w:rFonts w:ascii="Microsoft Sans Serif" w:eastAsia="Times New Roman" w:hAnsi="Microsoft Sans Serif" w:cs="Microsoft Sans Serif"/>
                <w:color w:val="FF0000"/>
                <w:sz w:val="24"/>
                <w:szCs w:val="24"/>
              </w:rPr>
            </w:pPr>
            <w:r>
              <w:rPr>
                <w:rFonts w:ascii="Microsoft Sans Serif" w:eastAsia="Times New Roman" w:hAnsi="Microsoft Sans Serif" w:cs="Microsoft Sans Serif"/>
                <w:color w:val="FF0000"/>
                <w:sz w:val="24"/>
                <w:szCs w:val="24"/>
              </w:rPr>
              <w:t>7</w:t>
            </w:r>
            <w:bookmarkStart w:id="0" w:name="_GoBack"/>
            <w:bookmarkEnd w:id="0"/>
            <w:r w:rsidR="00CE6974">
              <w:rPr>
                <w:rFonts w:ascii="Microsoft Sans Serif" w:eastAsia="Times New Roman" w:hAnsi="Microsoft Sans Serif" w:cs="Microsoft Sans Serif"/>
                <w:color w:val="FF0000"/>
                <w:sz w:val="24"/>
                <w:szCs w:val="24"/>
              </w:rPr>
              <w:t>4</w:t>
            </w:r>
          </w:p>
        </w:tc>
      </w:tr>
      <w:tr w:rsidR="000959E6" w:rsidRPr="00395D4D" w:rsidTr="004B63B8">
        <w:trPr>
          <w:trHeight w:val="476"/>
        </w:trPr>
        <w:tc>
          <w:tcPr>
            <w:tcW w:w="9383" w:type="dxa"/>
            <w:tcBorders>
              <w:top w:val="single" w:sz="4" w:space="0" w:color="auto"/>
              <w:left w:val="nil"/>
              <w:bottom w:val="nil"/>
              <w:right w:val="nil"/>
            </w:tcBorders>
            <w:shd w:val="clear" w:color="000000" w:fill="FFFFFF"/>
            <w:noWrap/>
            <w:vAlign w:val="bottom"/>
            <w:hideMark/>
          </w:tcPr>
          <w:p w:rsidR="00395D4D" w:rsidRPr="00395D4D" w:rsidRDefault="00395D4D" w:rsidP="00395D4D">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 </w:t>
            </w:r>
          </w:p>
        </w:tc>
        <w:tc>
          <w:tcPr>
            <w:tcW w:w="1675" w:type="dxa"/>
            <w:tcBorders>
              <w:top w:val="single" w:sz="4" w:space="0" w:color="auto"/>
              <w:left w:val="nil"/>
              <w:bottom w:val="nil"/>
              <w:right w:val="nil"/>
            </w:tcBorders>
            <w:shd w:val="clear" w:color="000000" w:fill="FFFFFF"/>
            <w:noWrap/>
            <w:vAlign w:val="bottom"/>
            <w:hideMark/>
          </w:tcPr>
          <w:p w:rsidR="00395D4D" w:rsidRPr="00395D4D" w:rsidRDefault="00395D4D" w:rsidP="00395D4D">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 </w:t>
            </w:r>
          </w:p>
        </w:tc>
        <w:tc>
          <w:tcPr>
            <w:tcW w:w="1710" w:type="dxa"/>
            <w:tcBorders>
              <w:top w:val="single" w:sz="4" w:space="0" w:color="auto"/>
              <w:left w:val="nil"/>
              <w:bottom w:val="nil"/>
              <w:right w:val="nil"/>
            </w:tcBorders>
            <w:shd w:val="clear" w:color="000000" w:fill="FFFFFF"/>
            <w:noWrap/>
            <w:vAlign w:val="bottom"/>
            <w:hideMark/>
          </w:tcPr>
          <w:p w:rsidR="00395D4D" w:rsidRPr="00395D4D" w:rsidRDefault="00395D4D" w:rsidP="00395D4D">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 </w:t>
            </w:r>
          </w:p>
        </w:tc>
        <w:tc>
          <w:tcPr>
            <w:tcW w:w="1651" w:type="dxa"/>
            <w:tcBorders>
              <w:top w:val="single" w:sz="4" w:space="0" w:color="auto"/>
              <w:left w:val="nil"/>
              <w:bottom w:val="nil"/>
              <w:right w:val="nil"/>
            </w:tcBorders>
            <w:shd w:val="clear" w:color="000000" w:fill="FFFFFF"/>
            <w:noWrap/>
            <w:vAlign w:val="bottom"/>
            <w:hideMark/>
          </w:tcPr>
          <w:p w:rsidR="00395D4D" w:rsidRPr="00395D4D" w:rsidRDefault="00395D4D" w:rsidP="00395D4D">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 </w:t>
            </w:r>
          </w:p>
        </w:tc>
      </w:tr>
      <w:tr w:rsidR="000959E6" w:rsidRPr="00395D4D" w:rsidTr="004B63B8">
        <w:trPr>
          <w:trHeight w:val="476"/>
        </w:trPr>
        <w:tc>
          <w:tcPr>
            <w:tcW w:w="9383"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675"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710"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651"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r>
      <w:tr w:rsidR="000959E6" w:rsidRPr="00395D4D" w:rsidTr="004B63B8">
        <w:trPr>
          <w:trHeight w:val="476"/>
        </w:trPr>
        <w:tc>
          <w:tcPr>
            <w:tcW w:w="9383"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p>
        </w:tc>
        <w:tc>
          <w:tcPr>
            <w:tcW w:w="1675"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710"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651"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r>
      <w:tr w:rsidR="000959E6" w:rsidRPr="00395D4D" w:rsidTr="004B63B8">
        <w:trPr>
          <w:trHeight w:val="476"/>
        </w:trPr>
        <w:tc>
          <w:tcPr>
            <w:tcW w:w="9383"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675" w:type="dxa"/>
            <w:tcBorders>
              <w:top w:val="nil"/>
              <w:left w:val="nil"/>
              <w:bottom w:val="nil"/>
              <w:right w:val="nil"/>
            </w:tcBorders>
            <w:shd w:val="clear" w:color="000000" w:fill="FFFFFF"/>
            <w:vAlign w:val="bottom"/>
            <w:hideMark/>
          </w:tcPr>
          <w:p w:rsidR="00395D4D" w:rsidRPr="00395D4D" w:rsidRDefault="00395D4D" w:rsidP="00395D4D">
            <w:pPr>
              <w:spacing w:after="0" w:line="240" w:lineRule="auto"/>
              <w:rPr>
                <w:rFonts w:ascii="Calibri" w:eastAsia="Times New Roman" w:hAnsi="Calibri" w:cs="Calibri"/>
                <w:color w:val="000000"/>
                <w:sz w:val="24"/>
                <w:szCs w:val="24"/>
              </w:rPr>
            </w:pPr>
            <w:r w:rsidRPr="00395D4D">
              <w:rPr>
                <w:rFonts w:ascii="Calibri" w:eastAsia="Times New Roman" w:hAnsi="Calibri" w:cs="Calibri"/>
                <w:color w:val="000000"/>
                <w:sz w:val="24"/>
                <w:szCs w:val="24"/>
              </w:rPr>
              <w:t> </w:t>
            </w:r>
          </w:p>
        </w:tc>
        <w:tc>
          <w:tcPr>
            <w:tcW w:w="1710" w:type="dxa"/>
            <w:tcBorders>
              <w:top w:val="nil"/>
              <w:left w:val="nil"/>
              <w:bottom w:val="nil"/>
              <w:right w:val="nil"/>
            </w:tcBorders>
            <w:shd w:val="clear" w:color="000000" w:fill="FFFFFF"/>
            <w:noWrap/>
            <w:vAlign w:val="bottom"/>
            <w:hideMark/>
          </w:tcPr>
          <w:p w:rsidR="00395D4D" w:rsidRPr="00395D4D" w:rsidRDefault="00395D4D" w:rsidP="00395D4D">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 </w:t>
            </w:r>
          </w:p>
        </w:tc>
        <w:tc>
          <w:tcPr>
            <w:tcW w:w="1651" w:type="dxa"/>
            <w:tcBorders>
              <w:top w:val="nil"/>
              <w:left w:val="nil"/>
              <w:bottom w:val="nil"/>
              <w:right w:val="nil"/>
            </w:tcBorders>
            <w:shd w:val="clear" w:color="000000" w:fill="FFFFFF"/>
            <w:noWrap/>
            <w:vAlign w:val="bottom"/>
            <w:hideMark/>
          </w:tcPr>
          <w:p w:rsidR="00395D4D" w:rsidRPr="00395D4D" w:rsidRDefault="00395D4D" w:rsidP="00395D4D">
            <w:pPr>
              <w:spacing w:after="0" w:line="240" w:lineRule="auto"/>
              <w:rPr>
                <w:rFonts w:ascii="Microsoft Sans Serif" w:eastAsia="Times New Roman" w:hAnsi="Microsoft Sans Serif" w:cs="Microsoft Sans Serif"/>
                <w:color w:val="000000"/>
                <w:sz w:val="24"/>
                <w:szCs w:val="24"/>
              </w:rPr>
            </w:pPr>
            <w:r w:rsidRPr="00395D4D">
              <w:rPr>
                <w:rFonts w:ascii="Microsoft Sans Serif" w:eastAsia="Times New Roman" w:hAnsi="Microsoft Sans Serif" w:cs="Microsoft Sans Serif"/>
                <w:color w:val="000000"/>
                <w:sz w:val="24"/>
                <w:szCs w:val="24"/>
              </w:rPr>
              <w:t> </w:t>
            </w:r>
          </w:p>
        </w:tc>
      </w:tr>
    </w:tbl>
    <w:p w:rsidR="00395D4D" w:rsidRDefault="00395D4D" w:rsidP="002510D4">
      <w:pPr>
        <w:jc w:val="both"/>
      </w:pPr>
    </w:p>
    <w:p w:rsidR="00461344" w:rsidRPr="0067049C" w:rsidRDefault="00E43C09" w:rsidP="002510D4">
      <w:pPr>
        <w:jc w:val="both"/>
      </w:pPr>
      <w:r>
        <w:rPr>
          <w:noProof/>
          <w:lang w:val="sq-AL" w:eastAsia="sq-AL"/>
        </w:rPr>
        <w:lastRenderedPageBreak/>
        <w:drawing>
          <wp:anchor distT="0" distB="0" distL="114300" distR="114300" simplePos="0" relativeHeight="251658240" behindDoc="0" locked="0" layoutInCell="1" allowOverlap="1">
            <wp:simplePos x="0" y="0"/>
            <wp:positionH relativeFrom="column">
              <wp:posOffset>-600075</wp:posOffset>
            </wp:positionH>
            <wp:positionV relativeFrom="paragraph">
              <wp:posOffset>0</wp:posOffset>
            </wp:positionV>
            <wp:extent cx="9258300" cy="5962650"/>
            <wp:effectExtent l="0" t="0" r="0" b="0"/>
            <wp:wrapSquare wrapText="bothSides"/>
            <wp:docPr id="1" name="Chart 1" title="P"/>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sectPr w:rsidR="00461344" w:rsidRPr="0067049C" w:rsidSect="00E43C0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223" w:rsidRDefault="00580223" w:rsidP="00724903">
      <w:pPr>
        <w:spacing w:after="0" w:line="240" w:lineRule="auto"/>
      </w:pPr>
      <w:r>
        <w:separator/>
      </w:r>
    </w:p>
  </w:endnote>
  <w:endnote w:type="continuationSeparator" w:id="0">
    <w:p w:rsidR="00580223" w:rsidRDefault="00580223" w:rsidP="00724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223" w:rsidRDefault="00580223" w:rsidP="00724903">
      <w:pPr>
        <w:spacing w:after="0" w:line="240" w:lineRule="auto"/>
      </w:pPr>
      <w:r>
        <w:separator/>
      </w:r>
    </w:p>
  </w:footnote>
  <w:footnote w:type="continuationSeparator" w:id="0">
    <w:p w:rsidR="00580223" w:rsidRDefault="00580223" w:rsidP="00724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FF3F55"/>
    <w:multiLevelType w:val="hybridMultilevel"/>
    <w:tmpl w:val="D6586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Q0t7QwNjezNDcytzRU0lEKTi0uzszPAykwqgUALAqXFSwAAAA="/>
  </w:docVars>
  <w:rsids>
    <w:rsidRoot w:val="001D427F"/>
    <w:rsid w:val="00071001"/>
    <w:rsid w:val="000959E6"/>
    <w:rsid w:val="0018702C"/>
    <w:rsid w:val="00191C36"/>
    <w:rsid w:val="001D427F"/>
    <w:rsid w:val="00212C6F"/>
    <w:rsid w:val="0024305E"/>
    <w:rsid w:val="002510D4"/>
    <w:rsid w:val="002A45A5"/>
    <w:rsid w:val="002A5B54"/>
    <w:rsid w:val="002C037B"/>
    <w:rsid w:val="002E315D"/>
    <w:rsid w:val="00370616"/>
    <w:rsid w:val="00395D4D"/>
    <w:rsid w:val="00405D9A"/>
    <w:rsid w:val="00422F8D"/>
    <w:rsid w:val="00431621"/>
    <w:rsid w:val="0044229C"/>
    <w:rsid w:val="00461344"/>
    <w:rsid w:val="00471F60"/>
    <w:rsid w:val="004B63B8"/>
    <w:rsid w:val="004E291D"/>
    <w:rsid w:val="00513AA9"/>
    <w:rsid w:val="00564768"/>
    <w:rsid w:val="00580223"/>
    <w:rsid w:val="00596DE0"/>
    <w:rsid w:val="005D1C97"/>
    <w:rsid w:val="005D5108"/>
    <w:rsid w:val="00630803"/>
    <w:rsid w:val="0067049C"/>
    <w:rsid w:val="00676327"/>
    <w:rsid w:val="006C24F3"/>
    <w:rsid w:val="006C40B2"/>
    <w:rsid w:val="006F3275"/>
    <w:rsid w:val="00724903"/>
    <w:rsid w:val="007748FC"/>
    <w:rsid w:val="00774CD2"/>
    <w:rsid w:val="007F3726"/>
    <w:rsid w:val="00841FD0"/>
    <w:rsid w:val="008855DC"/>
    <w:rsid w:val="008859CA"/>
    <w:rsid w:val="00917D6B"/>
    <w:rsid w:val="009579B6"/>
    <w:rsid w:val="009A318E"/>
    <w:rsid w:val="009A6082"/>
    <w:rsid w:val="00A25E15"/>
    <w:rsid w:val="00A5080C"/>
    <w:rsid w:val="00A537AA"/>
    <w:rsid w:val="00A727D2"/>
    <w:rsid w:val="00AA15D7"/>
    <w:rsid w:val="00AD6672"/>
    <w:rsid w:val="00B017FC"/>
    <w:rsid w:val="00B13FBE"/>
    <w:rsid w:val="00B37AD6"/>
    <w:rsid w:val="00B605AE"/>
    <w:rsid w:val="00C9378A"/>
    <w:rsid w:val="00CE57E3"/>
    <w:rsid w:val="00CE6974"/>
    <w:rsid w:val="00DB115E"/>
    <w:rsid w:val="00DE7DAA"/>
    <w:rsid w:val="00E1229E"/>
    <w:rsid w:val="00E2039D"/>
    <w:rsid w:val="00E43C09"/>
    <w:rsid w:val="00E969FC"/>
    <w:rsid w:val="00EF51A5"/>
    <w:rsid w:val="00F4241F"/>
    <w:rsid w:val="00F622A5"/>
    <w:rsid w:val="00F7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F59CA8-EE98-4AF5-9199-800D5CFEC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15E"/>
    <w:pPr>
      <w:ind w:left="720"/>
      <w:contextualSpacing/>
    </w:pPr>
  </w:style>
  <w:style w:type="table" w:styleId="TableGrid">
    <w:name w:val="Table Grid"/>
    <w:basedOn w:val="TableNormal"/>
    <w:uiPriority w:val="39"/>
    <w:rsid w:val="00A25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249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4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4903"/>
  </w:style>
  <w:style w:type="paragraph" w:styleId="Footer">
    <w:name w:val="footer"/>
    <w:basedOn w:val="Normal"/>
    <w:link w:val="FooterChar"/>
    <w:uiPriority w:val="99"/>
    <w:unhideWhenUsed/>
    <w:rsid w:val="00724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4903"/>
  </w:style>
  <w:style w:type="paragraph" w:styleId="BalloonText">
    <w:name w:val="Balloon Text"/>
    <w:basedOn w:val="Normal"/>
    <w:link w:val="BalloonTextChar"/>
    <w:uiPriority w:val="99"/>
    <w:semiHidden/>
    <w:unhideWhenUsed/>
    <w:rsid w:val="006F32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32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5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osmand\Desktop\GanttChartLu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Work Programme for CPS</a:t>
            </a:r>
            <a:r>
              <a:rPr lang="en-US" baseline="0"/>
              <a:t> and PCS  </a:t>
            </a:r>
          </a:p>
        </c:rich>
      </c:tx>
      <c:layout>
        <c:manualLayout>
          <c:xMode val="edge"/>
          <c:yMode val="edge"/>
          <c:x val="0.30375641316440383"/>
          <c:y val="1.7517546728384188E-2"/>
        </c:manualLayout>
      </c:layout>
      <c:overlay val="0"/>
    </c:title>
    <c:autoTitleDeleted val="0"/>
    <c:plotArea>
      <c:layout>
        <c:manualLayout>
          <c:layoutTarget val="inner"/>
          <c:xMode val="edge"/>
          <c:yMode val="edge"/>
          <c:x val="0.39123554000194416"/>
          <c:y val="0.16885143350691387"/>
          <c:w val="0.56382370413574845"/>
          <c:h val="0.81771232922807724"/>
        </c:manualLayout>
      </c:layout>
      <c:barChart>
        <c:barDir val="bar"/>
        <c:grouping val="stacked"/>
        <c:varyColors val="0"/>
        <c:ser>
          <c:idx val="0"/>
          <c:order val="0"/>
          <c:tx>
            <c:strRef>
              <c:f>Sheet1!$C$5</c:f>
              <c:strCache>
                <c:ptCount val="1"/>
                <c:pt idx="0">
                  <c:v>Start</c:v>
                </c:pt>
              </c:strCache>
            </c:strRef>
          </c:tx>
          <c:spPr>
            <a:noFill/>
            <a:ln>
              <a:noFill/>
            </a:ln>
            <a:effectLst/>
          </c:spPr>
          <c:invertIfNegative val="0"/>
          <c:dLbls>
            <c:dLbl>
              <c:idx val="0"/>
              <c:layout>
                <c:manualLayout>
                  <c:x val="2.7883304710367995E-2"/>
                  <c:y val="3.4147904035957168E-2"/>
                </c:manualLayout>
              </c:layout>
              <c:tx>
                <c:rich>
                  <a:bodyPr/>
                  <a:lstStyle/>
                  <a:p>
                    <a:r>
                      <a:rPr lang="en-US"/>
                      <a:t>12/3/2020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DA05-44BB-A658-EE270C5CA471}"/>
                </c:ext>
                <c:ext xmlns:c15="http://schemas.microsoft.com/office/drawing/2012/chart" uri="{CE6537A1-D6FC-4f65-9D91-7224C49458BB}"/>
              </c:extLst>
            </c:dLbl>
            <c:dLbl>
              <c:idx val="1"/>
              <c:layout>
                <c:manualLayout>
                  <c:x val="3.4405668427249014E-2"/>
                  <c:y val="3.8203315639858154E-2"/>
                </c:manualLayout>
              </c:layout>
              <c:tx>
                <c:rich>
                  <a:bodyPr/>
                  <a:lstStyle/>
                  <a:p>
                    <a:r>
                      <a:rPr lang="en-US"/>
                      <a:t>12/3/2020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DA05-44BB-A658-EE270C5CA471}"/>
                </c:ext>
                <c:ext xmlns:c15="http://schemas.microsoft.com/office/drawing/2012/chart" uri="{CE6537A1-D6FC-4f65-9D91-7224C49458BB}"/>
              </c:extLst>
            </c:dLbl>
            <c:dLbl>
              <c:idx val="2"/>
              <c:layout>
                <c:manualLayout>
                  <c:x val="2.0576131687242798E-2"/>
                  <c:y val="3.4079142663077738E-2"/>
                </c:manualLayout>
              </c:layout>
              <c:tx>
                <c:rich>
                  <a:bodyPr/>
                  <a:lstStyle/>
                  <a:p>
                    <a:r>
                      <a:rPr lang="en-US"/>
                      <a:t>27/11/2020</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DA05-44BB-A658-EE270C5CA471}"/>
                </c:ext>
                <c:ext xmlns:c15="http://schemas.microsoft.com/office/drawing/2012/chart" uri="{CE6537A1-D6FC-4f65-9D91-7224C49458BB}"/>
              </c:extLst>
            </c:dLbl>
            <c:dLbl>
              <c:idx val="3"/>
              <c:layout>
                <c:manualLayout>
                  <c:x val="8.2304526748971138E-2"/>
                  <c:y val="4.0468583599574018E-2"/>
                </c:manualLayout>
              </c:layout>
              <c:tx>
                <c:rich>
                  <a:bodyPr/>
                  <a:lstStyle/>
                  <a:p>
                    <a:r>
                      <a:rPr lang="en-US"/>
                      <a:t>11/01/2021</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DA05-44BB-A658-EE270C5CA471}"/>
                </c:ext>
                <c:ext xmlns:c15="http://schemas.microsoft.com/office/drawing/2012/chart" uri="{CE6537A1-D6FC-4f65-9D91-7224C49458BB}"/>
              </c:extLst>
            </c:dLbl>
            <c:dLbl>
              <c:idx val="4"/>
              <c:layout>
                <c:manualLayout>
                  <c:x val="0.11248285322359386"/>
                  <c:y val="3.4078974952412022E-2"/>
                </c:manualLayout>
              </c:layout>
              <c:tx>
                <c:rich>
                  <a:bodyPr/>
                  <a:lstStyle/>
                  <a:p>
                    <a:r>
                      <a:rPr lang="en-US"/>
                      <a:t>01/07/2021</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DA05-44BB-A658-EE270C5CA471}"/>
                </c:ext>
                <c:ext xmlns:c15="http://schemas.microsoft.com/office/drawing/2012/chart" uri="{CE6537A1-D6FC-4f65-9D91-7224C49458BB}"/>
              </c:extLst>
            </c:dLbl>
            <c:dLbl>
              <c:idx val="5"/>
              <c:layout>
                <c:manualLayout>
                  <c:x val="0.15912208504801098"/>
                  <c:y val="4.0468751310239574E-2"/>
                </c:manualLayout>
              </c:layout>
              <c:tx>
                <c:rich>
                  <a:bodyPr/>
                  <a:lstStyle/>
                  <a:p>
                    <a:r>
                      <a:rPr lang="en-US"/>
                      <a:t>01/09/2021</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DA05-44BB-A658-EE270C5CA471}"/>
                </c:ext>
                <c:ext xmlns:c15="http://schemas.microsoft.com/office/drawing/2012/chart" uri="{CE6537A1-D6FC-4f65-9D91-7224C49458BB}"/>
              </c:extLst>
            </c:dLbl>
            <c:dLbl>
              <c:idx val="6"/>
              <c:layout>
                <c:manualLayout>
                  <c:x val="0.23319615912208505"/>
                  <c:y val="3.6209068115686818E-2"/>
                </c:manualLayout>
              </c:layout>
              <c:tx>
                <c:rich>
                  <a:bodyPr/>
                  <a:lstStyle/>
                  <a:p>
                    <a:r>
                      <a:rPr lang="en-US"/>
                      <a:t>17/01/2022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DA05-44BB-A658-EE270C5CA471}"/>
                </c:ext>
                <c:ext xmlns:c15="http://schemas.microsoft.com/office/drawing/2012/chart" uri="{CE6537A1-D6FC-4f65-9D91-7224C49458BB}"/>
              </c:extLst>
            </c:dLbl>
            <c:dLbl>
              <c:idx val="7"/>
              <c:layout>
                <c:manualLayout>
                  <c:x val="0.20438957475994513"/>
                  <c:y val="3.6209068115686818E-2"/>
                </c:manualLayout>
              </c:layout>
              <c:tx>
                <c:rich>
                  <a:bodyPr/>
                  <a:lstStyle/>
                  <a:p>
                    <a:r>
                      <a:rPr lang="en-US"/>
                      <a:t>01/04/2022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DA05-44BB-A658-EE270C5CA471}"/>
                </c:ext>
                <c:ext xmlns:c15="http://schemas.microsoft.com/office/drawing/2012/chart" uri="{CE6537A1-D6FC-4f65-9D91-7224C49458BB}"/>
              </c:extLst>
            </c:dLbl>
            <c:dLbl>
              <c:idx val="8"/>
              <c:layout>
                <c:manualLayout>
                  <c:x val="0.27434842249657065"/>
                  <c:y val="3.6209068115686818E-2"/>
                </c:manualLayout>
              </c:layout>
              <c:tx>
                <c:rich>
                  <a:bodyPr/>
                  <a:lstStyle/>
                  <a:p>
                    <a:r>
                      <a:rPr lang="en-US"/>
                      <a:t>01/09/2022</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DA05-44BB-A658-EE270C5CA471}"/>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Sheet1!$B$7:$B$15</c:f>
              <c:strCache>
                <c:ptCount val="9"/>
                <c:pt idx="0">
                  <c:v>1. Establish service contact point</c:v>
                </c:pt>
                <c:pt idx="1">
                  <c:v>2. Define basic architecture of PSC</c:v>
                </c:pt>
                <c:pt idx="2">
                  <c:v>3. Identify all the entities that are going to participate on PSC, central and local level</c:v>
                </c:pt>
                <c:pt idx="3">
                  <c:v>4. IT capabilities and gap analysis for each entity involved in PSC</c:v>
                </c:pt>
                <c:pt idx="4">
                  <c:v>5. Define what to be done on each entity in order to be ready to be member of PSC</c:v>
                </c:pt>
                <c:pt idx="5">
                  <c:v>6. Implementation of the work-program in each entity as appropriate</c:v>
                </c:pt>
                <c:pt idx="6">
                  <c:v>7. Define the software on PSC, software specialist support (tools available at EU level (open source))</c:v>
                </c:pt>
                <c:pt idx="7">
                  <c:v>8. Establishment of PSC system. Train public officials how to use the system in each ministry and entity</c:v>
                </c:pt>
                <c:pt idx="8">
                  <c:v>9. Run a pilot exercise to make sure that everything works and launch PSC</c:v>
                </c:pt>
              </c:strCache>
            </c:strRef>
          </c:cat>
          <c:val>
            <c:numRef>
              <c:f>Sheet1!$C$7:$C$15</c:f>
              <c:numCache>
                <c:formatCode>m/d/yyyy</c:formatCode>
                <c:ptCount val="9"/>
                <c:pt idx="0">
                  <c:v>43437</c:v>
                </c:pt>
                <c:pt idx="1">
                  <c:v>43437</c:v>
                </c:pt>
                <c:pt idx="2">
                  <c:v>43524</c:v>
                </c:pt>
                <c:pt idx="3">
                  <c:v>43599</c:v>
                </c:pt>
                <c:pt idx="4">
                  <c:v>43860</c:v>
                </c:pt>
                <c:pt idx="5">
                  <c:v>44012</c:v>
                </c:pt>
                <c:pt idx="6">
                  <c:v>44407</c:v>
                </c:pt>
                <c:pt idx="7">
                  <c:v>44560</c:v>
                </c:pt>
                <c:pt idx="8">
                  <c:v>44612</c:v>
                </c:pt>
              </c:numCache>
            </c:numRef>
          </c:val>
          <c:extLst xmlns:c16r2="http://schemas.microsoft.com/office/drawing/2015/06/chart">
            <c:ext xmlns:c16="http://schemas.microsoft.com/office/drawing/2014/chart" uri="{C3380CC4-5D6E-409C-BE32-E72D297353CC}">
              <c16:uniqueId val="{00000009-DA05-44BB-A658-EE270C5CA471}"/>
            </c:ext>
          </c:extLst>
        </c:ser>
        <c:ser>
          <c:idx val="1"/>
          <c:order val="1"/>
          <c:tx>
            <c:strRef>
              <c:f>Sheet1!$E$5</c:f>
              <c:strCache>
                <c:ptCount val="1"/>
                <c:pt idx="0">
                  <c:v>Duration (days)</c:v>
                </c:pt>
              </c:strCache>
            </c:strRef>
          </c:tx>
          <c:invertIfNegative val="0"/>
          <c:dPt>
            <c:idx val="0"/>
            <c:invertIfNegative val="0"/>
            <c:bubble3D val="0"/>
            <c:spPr>
              <a:solidFill>
                <a:schemeClr val="accent6">
                  <a:lumMod val="20000"/>
                  <a:lumOff val="80000"/>
                </a:schemeClr>
              </a:solidFill>
            </c:spPr>
            <c:extLst xmlns:c16r2="http://schemas.microsoft.com/office/drawing/2015/06/chart">
              <c:ext xmlns:c16="http://schemas.microsoft.com/office/drawing/2014/chart" uri="{C3380CC4-5D6E-409C-BE32-E72D297353CC}">
                <c16:uniqueId val="{0000000B-DA05-44BB-A658-EE270C5CA471}"/>
              </c:ext>
            </c:extLst>
          </c:dPt>
          <c:dPt>
            <c:idx val="1"/>
            <c:invertIfNegative val="0"/>
            <c:bubble3D val="0"/>
            <c:spPr>
              <a:solidFill>
                <a:schemeClr val="accent5">
                  <a:lumMod val="20000"/>
                  <a:lumOff val="80000"/>
                </a:schemeClr>
              </a:solidFill>
            </c:spPr>
            <c:extLst xmlns:c16r2="http://schemas.microsoft.com/office/drawing/2015/06/chart">
              <c:ext xmlns:c16="http://schemas.microsoft.com/office/drawing/2014/chart" uri="{C3380CC4-5D6E-409C-BE32-E72D297353CC}">
                <c16:uniqueId val="{0000000D-DA05-44BB-A658-EE270C5CA471}"/>
              </c:ext>
            </c:extLst>
          </c:dPt>
          <c:dPt>
            <c:idx val="2"/>
            <c:invertIfNegative val="0"/>
            <c:bubble3D val="0"/>
            <c:spPr>
              <a:solidFill>
                <a:schemeClr val="accent4">
                  <a:lumMod val="20000"/>
                  <a:lumOff val="80000"/>
                </a:schemeClr>
              </a:solidFill>
            </c:spPr>
            <c:extLst xmlns:c16r2="http://schemas.microsoft.com/office/drawing/2015/06/chart">
              <c:ext xmlns:c16="http://schemas.microsoft.com/office/drawing/2014/chart" uri="{C3380CC4-5D6E-409C-BE32-E72D297353CC}">
                <c16:uniqueId val="{0000000F-DA05-44BB-A658-EE270C5CA471}"/>
              </c:ext>
            </c:extLst>
          </c:dPt>
          <c:dPt>
            <c:idx val="3"/>
            <c:invertIfNegative val="0"/>
            <c:bubble3D val="0"/>
            <c:spPr>
              <a:solidFill>
                <a:schemeClr val="accent3">
                  <a:lumMod val="20000"/>
                  <a:lumOff val="80000"/>
                </a:schemeClr>
              </a:solidFill>
            </c:spPr>
            <c:extLst xmlns:c16r2="http://schemas.microsoft.com/office/drawing/2015/06/chart">
              <c:ext xmlns:c16="http://schemas.microsoft.com/office/drawing/2014/chart" uri="{C3380CC4-5D6E-409C-BE32-E72D297353CC}">
                <c16:uniqueId val="{00000011-DA05-44BB-A658-EE270C5CA471}"/>
              </c:ext>
            </c:extLst>
          </c:dPt>
          <c:dPt>
            <c:idx val="4"/>
            <c:invertIfNegative val="0"/>
            <c:bubble3D val="0"/>
            <c:spPr>
              <a:solidFill>
                <a:schemeClr val="accent2">
                  <a:lumMod val="20000"/>
                  <a:lumOff val="80000"/>
                </a:schemeClr>
              </a:solidFill>
            </c:spPr>
            <c:extLst xmlns:c16r2="http://schemas.microsoft.com/office/drawing/2015/06/chart">
              <c:ext xmlns:c16="http://schemas.microsoft.com/office/drawing/2014/chart" uri="{C3380CC4-5D6E-409C-BE32-E72D297353CC}">
                <c16:uniqueId val="{00000013-DA05-44BB-A658-EE270C5CA471}"/>
              </c:ext>
            </c:extLst>
          </c:dPt>
          <c:dPt>
            <c:idx val="5"/>
            <c:invertIfNegative val="0"/>
            <c:bubble3D val="0"/>
            <c:spPr>
              <a:solidFill>
                <a:srgbClr val="FFC000"/>
              </a:solidFill>
            </c:spPr>
            <c:extLst xmlns:c16r2="http://schemas.microsoft.com/office/drawing/2015/06/chart">
              <c:ext xmlns:c16="http://schemas.microsoft.com/office/drawing/2014/chart" uri="{C3380CC4-5D6E-409C-BE32-E72D297353CC}">
                <c16:uniqueId val="{00000015-DA05-44BB-A658-EE270C5CA471}"/>
              </c:ext>
            </c:extLst>
          </c:dPt>
          <c:dPt>
            <c:idx val="6"/>
            <c:invertIfNegative val="0"/>
            <c:bubble3D val="0"/>
            <c:spPr>
              <a:solidFill>
                <a:schemeClr val="accent5">
                  <a:lumMod val="60000"/>
                  <a:lumOff val="40000"/>
                </a:schemeClr>
              </a:solidFill>
            </c:spPr>
            <c:extLst xmlns:c16r2="http://schemas.microsoft.com/office/drawing/2015/06/chart">
              <c:ext xmlns:c16="http://schemas.microsoft.com/office/drawing/2014/chart" uri="{C3380CC4-5D6E-409C-BE32-E72D297353CC}">
                <c16:uniqueId val="{00000017-DA05-44BB-A658-EE270C5CA471}"/>
              </c:ext>
            </c:extLst>
          </c:dPt>
          <c:dPt>
            <c:idx val="7"/>
            <c:invertIfNegative val="0"/>
            <c:bubble3D val="0"/>
            <c:spPr>
              <a:solidFill>
                <a:srgbClr val="FFCCFF"/>
              </a:solidFill>
            </c:spPr>
            <c:extLst xmlns:c16r2="http://schemas.microsoft.com/office/drawing/2015/06/chart">
              <c:ext xmlns:c16="http://schemas.microsoft.com/office/drawing/2014/chart" uri="{C3380CC4-5D6E-409C-BE32-E72D297353CC}">
                <c16:uniqueId val="{00000019-DA05-44BB-A658-EE270C5CA471}"/>
              </c:ext>
            </c:extLst>
          </c:dPt>
          <c:dPt>
            <c:idx val="8"/>
            <c:invertIfNegative val="0"/>
            <c:bubble3D val="0"/>
            <c:spPr>
              <a:solidFill>
                <a:schemeClr val="bg1">
                  <a:lumMod val="65000"/>
                </a:schemeClr>
              </a:solidFill>
            </c:spPr>
            <c:extLst xmlns:c16r2="http://schemas.microsoft.com/office/drawing/2015/06/chart">
              <c:ext xmlns:c16="http://schemas.microsoft.com/office/drawing/2014/chart" uri="{C3380CC4-5D6E-409C-BE32-E72D297353CC}">
                <c16:uniqueId val="{0000001B-DA05-44BB-A658-EE270C5CA471}"/>
              </c:ext>
            </c:extLst>
          </c:dPt>
          <c:dPt>
            <c:idx val="9"/>
            <c:invertIfNegative val="0"/>
            <c:bubble3D val="0"/>
            <c:spPr>
              <a:solidFill>
                <a:srgbClr val="FF0000"/>
              </a:solidFill>
            </c:spPr>
            <c:extLst xmlns:c16r2="http://schemas.microsoft.com/office/drawing/2015/06/chart">
              <c:ext xmlns:c16="http://schemas.microsoft.com/office/drawing/2014/chart" uri="{C3380CC4-5D6E-409C-BE32-E72D297353CC}">
                <c16:uniqueId val="{0000001D-DA05-44BB-A658-EE270C5CA471}"/>
              </c:ext>
            </c:extLst>
          </c:dPt>
          <c:dPt>
            <c:idx val="10"/>
            <c:invertIfNegative val="0"/>
            <c:bubble3D val="0"/>
            <c:spPr>
              <a:solidFill>
                <a:srgbClr val="FF0000"/>
              </a:solidFill>
            </c:spPr>
            <c:extLst xmlns:c16r2="http://schemas.microsoft.com/office/drawing/2015/06/chart">
              <c:ext xmlns:c16="http://schemas.microsoft.com/office/drawing/2014/chart" uri="{C3380CC4-5D6E-409C-BE32-E72D297353CC}">
                <c16:uniqueId val="{0000001F-DA05-44BB-A658-EE270C5CA471}"/>
              </c:ext>
            </c:extLst>
          </c:dPt>
          <c:dPt>
            <c:idx val="11"/>
            <c:invertIfNegative val="0"/>
            <c:bubble3D val="0"/>
            <c:spPr>
              <a:solidFill>
                <a:srgbClr val="FF0000"/>
              </a:solidFill>
            </c:spPr>
            <c:extLst xmlns:c16r2="http://schemas.microsoft.com/office/drawing/2015/06/chart">
              <c:ext xmlns:c16="http://schemas.microsoft.com/office/drawing/2014/chart" uri="{C3380CC4-5D6E-409C-BE32-E72D297353CC}">
                <c16:uniqueId val="{00000021-DA05-44BB-A658-EE270C5CA471}"/>
              </c:ext>
            </c:extLst>
          </c:dPt>
          <c:dPt>
            <c:idx val="12"/>
            <c:invertIfNegative val="0"/>
            <c:bubble3D val="0"/>
            <c:spPr>
              <a:solidFill>
                <a:srgbClr val="660066"/>
              </a:solidFill>
            </c:spPr>
            <c:extLst xmlns:c16r2="http://schemas.microsoft.com/office/drawing/2015/06/chart">
              <c:ext xmlns:c16="http://schemas.microsoft.com/office/drawing/2014/chart" uri="{C3380CC4-5D6E-409C-BE32-E72D297353CC}">
                <c16:uniqueId val="{00000023-DA05-44BB-A658-EE270C5CA471}"/>
              </c:ext>
            </c:extLst>
          </c:dPt>
          <c:dPt>
            <c:idx val="13"/>
            <c:invertIfNegative val="0"/>
            <c:bubble3D val="0"/>
            <c:spPr>
              <a:solidFill>
                <a:srgbClr val="660066"/>
              </a:solidFill>
            </c:spPr>
            <c:extLst xmlns:c16r2="http://schemas.microsoft.com/office/drawing/2015/06/chart">
              <c:ext xmlns:c16="http://schemas.microsoft.com/office/drawing/2014/chart" uri="{C3380CC4-5D6E-409C-BE32-E72D297353CC}">
                <c16:uniqueId val="{00000025-DA05-44BB-A658-EE270C5CA471}"/>
              </c:ext>
            </c:extLst>
          </c:dPt>
          <c:dPt>
            <c:idx val="14"/>
            <c:invertIfNegative val="0"/>
            <c:bubble3D val="0"/>
            <c:spPr>
              <a:solidFill>
                <a:srgbClr val="660066"/>
              </a:solidFill>
            </c:spPr>
            <c:extLst xmlns:c16r2="http://schemas.microsoft.com/office/drawing/2015/06/chart">
              <c:ext xmlns:c16="http://schemas.microsoft.com/office/drawing/2014/chart" uri="{C3380CC4-5D6E-409C-BE32-E72D297353CC}">
                <c16:uniqueId val="{00000027-DA05-44BB-A658-EE270C5CA471}"/>
              </c:ext>
            </c:extLst>
          </c:dPt>
          <c:dPt>
            <c:idx val="15"/>
            <c:invertIfNegative val="0"/>
            <c:bubble3D val="0"/>
            <c:spPr>
              <a:solidFill>
                <a:srgbClr val="660066"/>
              </a:solidFill>
            </c:spPr>
            <c:extLst xmlns:c16r2="http://schemas.microsoft.com/office/drawing/2015/06/chart">
              <c:ext xmlns:c16="http://schemas.microsoft.com/office/drawing/2014/chart" uri="{C3380CC4-5D6E-409C-BE32-E72D297353CC}">
                <c16:uniqueId val="{00000029-DA05-44BB-A658-EE270C5CA471}"/>
              </c:ext>
            </c:extLst>
          </c:dPt>
          <c:dLbls>
            <c:delete val="1"/>
          </c:dLbls>
          <c:cat>
            <c:strRef>
              <c:f>Sheet1!$B$7:$B$15</c:f>
              <c:strCache>
                <c:ptCount val="9"/>
                <c:pt idx="0">
                  <c:v>1. Establish service contact point</c:v>
                </c:pt>
                <c:pt idx="1">
                  <c:v>2. Define basic architecture of PSC</c:v>
                </c:pt>
                <c:pt idx="2">
                  <c:v>3. Identify all the entities that are going to participate on PSC, central and local level</c:v>
                </c:pt>
                <c:pt idx="3">
                  <c:v>4. IT capabilities and gap analysis for each entity involved in PSC</c:v>
                </c:pt>
                <c:pt idx="4">
                  <c:v>5. Define what to be done on each entity in order to be ready to be member of PSC</c:v>
                </c:pt>
                <c:pt idx="5">
                  <c:v>6. Implementation of the work-program in each entity as appropriate</c:v>
                </c:pt>
                <c:pt idx="6">
                  <c:v>7. Define the software on PSC, software specialist support (tools available at EU level (open source))</c:v>
                </c:pt>
                <c:pt idx="7">
                  <c:v>8. Establishment of PSC system. Train public officials how to use the system in each ministry and entity</c:v>
                </c:pt>
                <c:pt idx="8">
                  <c:v>9. Run a pilot exercise to make sure that everything works and launch PSC</c:v>
                </c:pt>
              </c:strCache>
            </c:strRef>
          </c:cat>
          <c:val>
            <c:numRef>
              <c:f>Sheet1!$E$7:$E$15</c:f>
              <c:numCache>
                <c:formatCode>General</c:formatCode>
                <c:ptCount val="9"/>
                <c:pt idx="0">
                  <c:v>87</c:v>
                </c:pt>
                <c:pt idx="1">
                  <c:v>87</c:v>
                </c:pt>
                <c:pt idx="2">
                  <c:v>75</c:v>
                </c:pt>
                <c:pt idx="3">
                  <c:v>261</c:v>
                </c:pt>
                <c:pt idx="4">
                  <c:v>152</c:v>
                </c:pt>
                <c:pt idx="5">
                  <c:v>395</c:v>
                </c:pt>
                <c:pt idx="6">
                  <c:v>153</c:v>
                </c:pt>
                <c:pt idx="7">
                  <c:v>52</c:v>
                </c:pt>
                <c:pt idx="8">
                  <c:v>160</c:v>
                </c:pt>
              </c:numCache>
            </c:numRef>
          </c:val>
          <c:extLst xmlns:c16r2="http://schemas.microsoft.com/office/drawing/2015/06/chart">
            <c:ext xmlns:c16="http://schemas.microsoft.com/office/drawing/2014/chart" uri="{C3380CC4-5D6E-409C-BE32-E72D297353CC}">
              <c16:uniqueId val="{0000002A-DA05-44BB-A658-EE270C5CA471}"/>
            </c:ext>
          </c:extLst>
        </c:ser>
        <c:dLbls>
          <c:showLegendKey val="0"/>
          <c:showVal val="1"/>
          <c:showCatName val="0"/>
          <c:showSerName val="0"/>
          <c:showPercent val="0"/>
          <c:showBubbleSize val="0"/>
        </c:dLbls>
        <c:gapWidth val="100"/>
        <c:overlap val="100"/>
        <c:axId val="368970480"/>
        <c:axId val="368970872"/>
      </c:barChart>
      <c:catAx>
        <c:axId val="368970480"/>
        <c:scaling>
          <c:orientation val="maxMin"/>
        </c:scaling>
        <c:delete val="0"/>
        <c:axPos val="l"/>
        <c:numFmt formatCode="General" sourceLinked="0"/>
        <c:majorTickMark val="out"/>
        <c:minorTickMark val="none"/>
        <c:tickLblPos val="nextTo"/>
        <c:crossAx val="368970872"/>
        <c:crosses val="autoZero"/>
        <c:auto val="1"/>
        <c:lblAlgn val="ctr"/>
        <c:lblOffset val="100"/>
        <c:noMultiLvlLbl val="0"/>
      </c:catAx>
      <c:valAx>
        <c:axId val="368970872"/>
        <c:scaling>
          <c:orientation val="minMax"/>
          <c:max val="44900"/>
          <c:min val="43400"/>
        </c:scaling>
        <c:delete val="1"/>
        <c:axPos val="t"/>
        <c:majorGridlines/>
        <c:numFmt formatCode="m/d/yyyy" sourceLinked="1"/>
        <c:majorTickMark val="out"/>
        <c:minorTickMark val="none"/>
        <c:tickLblPos val="nextTo"/>
        <c:crossAx val="368970480"/>
        <c:crosses val="autoZero"/>
        <c:crossBetween val="between"/>
      </c:valAx>
    </c:plotArea>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 Dzudzevic</dc:creator>
  <cp:keywords/>
  <dc:description/>
  <cp:lastModifiedBy>Shqipe Jashari</cp:lastModifiedBy>
  <cp:revision>3</cp:revision>
  <cp:lastPrinted>2020-03-04T14:18:00Z</cp:lastPrinted>
  <dcterms:created xsi:type="dcterms:W3CDTF">2020-03-12T08:36:00Z</dcterms:created>
  <dcterms:modified xsi:type="dcterms:W3CDTF">2020-03-12T08:55:00Z</dcterms:modified>
</cp:coreProperties>
</file>